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56F95AA" Type="http://schemas.openxmlformats.org/officeDocument/2006/relationships/officeDocument" Target="/word/document.xml" /><Relationship Id="coreR356F95AA" Type="http://schemas.openxmlformats.org/package/2006/relationships/metadata/core-properties" Target="/docProps/core.xml" /><Relationship Id="customR356F95AA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Operátor jedno a vícebarvových digitálních produkčních tiskových strojů (kód: 34-033-H)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Polygrafie, zpracování papíru, filmu a fotografie (kód: 34)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Operátor jedno a vícebarvových digitálních produkčních tiskových strojů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607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Volba postupu tiskařské práce, potřebných pomůcek a barev na jedno a vícebarvových digitálních produkčních tiskových strojích</w:t>
      </w:r>
    </w:p>
    <w:p>
      <w:pPr>
        <w:pStyle w:val="P14"/>
        <w:framePr w:w="805" w:h="607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6226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282"/>
        <w:rPr>
          <w:rStyle w:val="C13"/>
          <w:rtl w:val="0"/>
        </w:rPr>
      </w:pPr>
      <w:r>
        <w:rPr>
          <w:rStyle w:val="C13"/>
          <w:rtl w:val="0"/>
        </w:rPr>
        <w:t>Převzetí výrobních podkladů pro tisk nové zakázky na jedno a vícebarvových digitálních produkčních tiskových strojích</w:t>
      </w:r>
    </w:p>
    <w:p>
      <w:pPr>
        <w:pStyle w:val="P18"/>
        <w:framePr w:w="805" w:h="607" w:hRule="exact" w:wrap="none" w:vAnchor="page" w:hAnchor="margin" w:x="9916" w:y="6226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28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6833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6889"/>
        <w:rPr>
          <w:rStyle w:val="C11"/>
          <w:rtl w:val="0"/>
        </w:rPr>
      </w:pPr>
      <w:r>
        <w:rPr>
          <w:rStyle w:val="C11"/>
          <w:rtl w:val="0"/>
        </w:rPr>
        <w:t>Převzetí a příprava potiskovaného materiálu, inkoustů a tekutých tonerů na jedno a vícebarvových digitálních produkčních tiskových strojích</w:t>
      </w:r>
    </w:p>
    <w:p>
      <w:pPr>
        <w:pStyle w:val="P14"/>
        <w:framePr w:w="805" w:h="607" w:hRule="exact" w:wrap="none" w:vAnchor="page" w:hAnchor="margin" w:x="9916" w:y="6833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6889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440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496"/>
        <w:rPr>
          <w:rStyle w:val="C13"/>
          <w:rtl w:val="0"/>
        </w:rPr>
      </w:pPr>
      <w:r>
        <w:rPr>
          <w:rStyle w:val="C13"/>
          <w:rtl w:val="0"/>
        </w:rPr>
        <w:t>Příprava a seřízení jedno a vícebarvových digitálních produkčních tiskových strojů</w:t>
      </w:r>
    </w:p>
    <w:p>
      <w:pPr>
        <w:pStyle w:val="P18"/>
        <w:framePr w:w="805" w:h="376" w:hRule="exact" w:wrap="none" w:vAnchor="page" w:hAnchor="margin" w:x="9916" w:y="7440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496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16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872"/>
        <w:rPr>
          <w:rStyle w:val="C11"/>
          <w:rtl w:val="0"/>
        </w:rPr>
      </w:pPr>
      <w:r>
        <w:rPr>
          <w:rStyle w:val="C11"/>
          <w:rtl w:val="0"/>
        </w:rPr>
        <w:t>Dodržení normativu při tisku celé zakázky na jedno a vícebarvových digitálních produkčních tiskových strojích</w:t>
      </w:r>
    </w:p>
    <w:p>
      <w:pPr>
        <w:pStyle w:val="P14"/>
        <w:framePr w:w="805" w:h="376" w:hRule="exact" w:wrap="none" w:vAnchor="page" w:hAnchor="margin" w:x="9916" w:y="7816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872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19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249"/>
        <w:rPr>
          <w:rStyle w:val="C13"/>
          <w:rtl w:val="0"/>
        </w:rPr>
      </w:pPr>
      <w:r>
        <w:rPr>
          <w:rStyle w:val="C13"/>
          <w:rtl w:val="0"/>
        </w:rPr>
        <w:t>Dokončení tisku, předání zakázky na jedno a vícebarvových digitálních produkčních tiskových strojích</w:t>
      </w:r>
    </w:p>
    <w:p>
      <w:pPr>
        <w:pStyle w:val="P18"/>
        <w:framePr w:w="805" w:h="376" w:hRule="exact" w:wrap="none" w:vAnchor="page" w:hAnchor="margin" w:x="9916" w:y="819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24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56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25"/>
        <w:rPr>
          <w:rStyle w:val="C11"/>
          <w:rtl w:val="0"/>
        </w:rPr>
      </w:pPr>
      <w:r>
        <w:rPr>
          <w:rStyle w:val="C11"/>
          <w:rtl w:val="0"/>
        </w:rPr>
        <w:t>Kontrola, údržba a čištění jedno a vícebarvových digitálních produkčních tiskových strojů</w:t>
      </w:r>
    </w:p>
    <w:p>
      <w:pPr>
        <w:pStyle w:val="P14"/>
        <w:framePr w:w="805" w:h="376" w:hRule="exact" w:wrap="none" w:vAnchor="page" w:hAnchor="margin" w:x="9916" w:y="856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2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945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01"/>
        <w:rPr>
          <w:rStyle w:val="C13"/>
          <w:rtl w:val="0"/>
        </w:rPr>
      </w:pPr>
      <w:r>
        <w:rPr>
          <w:rStyle w:val="C13"/>
          <w:rtl w:val="0"/>
        </w:rPr>
        <w:t>Obsluha řídící (RIP) jednotky včetně periférií na jedno a vícebarvových digitálních produkčních tiskových strojích</w:t>
      </w:r>
    </w:p>
    <w:p>
      <w:pPr>
        <w:pStyle w:val="P18"/>
        <w:framePr w:w="805" w:h="376" w:hRule="exact" w:wrap="none" w:vAnchor="page" w:hAnchor="margin" w:x="9916" w:y="8945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01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9548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888"/>
        <w:rPr>
          <w:rStyle w:val="C15"/>
          <w:rtl w:val="0"/>
        </w:rPr>
      </w:pPr>
      <w:r>
        <w:rPr>
          <w:rStyle w:val="C15"/>
          <w:rtl w:val="0"/>
        </w:rPr>
        <w:t>Standard je platný od: 29.10.2013 do: 05.04.2019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Operátor jedno a vícebarvových digitálních produkčních tiskových strojů, 9.9.2026 23:23:35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4750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407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407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je vyžadována s ohledem na 2. stupeň zátěže (odkaz na povolání v NSP – http://katalog.nsp.cz/karta_tp.aspx?id_jp=101914&amp;kod_sm1=33), dále se musí uchazeč prokázat lékařským potvrzením, že netrpí poruchou barvocitu (poruchou barevného vidění).</w:t>
      </w:r>
    </w:p>
    <w:p>
      <w:pPr>
        <w:keepNext w:val="0"/>
        <w:keepLines w:val="0"/>
        <w:framePr w:w="10766" w:h="407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stanovených kompetencí je nutno prověřovat v rámci systémového řízení kvality digitálního tisku a opírá se o tyto normy:</w:t>
      </w:r>
    </w:p>
    <w:p>
      <w:pPr>
        <w:keepNext w:val="0"/>
        <w:keepLines w:val="0"/>
        <w:framePr w:w="10766" w:h="407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ISO 12 647-1 Parametry a metody měření</w:t>
      </w:r>
    </w:p>
    <w:p>
      <w:pPr>
        <w:keepNext w:val="0"/>
        <w:keepLines w:val="0"/>
        <w:framePr w:w="10766" w:h="407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ISO 15 930-3 Přejímka a zpracování tiskových dat</w:t>
      </w:r>
    </w:p>
    <w:p>
      <w:pPr>
        <w:keepNext w:val="0"/>
        <w:keepLines w:val="0"/>
        <w:framePr w:w="10766" w:h="407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ISO 12 647-7 Digitální kontrolní nátisk</w:t>
      </w:r>
    </w:p>
    <w:p>
      <w:pPr>
        <w:keepNext w:val="0"/>
        <w:keepLines w:val="0"/>
        <w:framePr w:w="10766" w:h="407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stanovených kompetencí spočívá v prověření způsobilosti uchazeče vykonat zadanou operaci podle stanoveného technologického (pracovního) postupu, správně vykonávat činnosti spojené s obsluhou a základní údržbou příslušných strojů včetně provedení dokončovacích prací a provádění běžných výpočtů.</w:t>
      </w:r>
    </w:p>
    <w:p>
      <w:pPr>
        <w:keepNext w:val="0"/>
        <w:keepLines w:val="0"/>
        <w:framePr w:w="10766" w:h="407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Podmínkou úspěšné zkoušky je dodržení všech zásad BOZP a PO v jejím průběhu.</w:t>
      </w:r>
    </w:p>
    <w:p>
      <w:pPr>
        <w:keepNext w:val="0"/>
        <w:keepLines w:val="0"/>
        <w:framePr w:w="10766" w:h="407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Operátor jedno a vícebarvových digitálních produkčních tiskových strojů, 9.9.2026 23:23:35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připravila SR pro polygrafii, média a informační služby, ustavená a licencovaná pro tuto činnost HK ČR a SP ČR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Mediacore, s. r. o.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SPŠ a VOŠ Grafická Praha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EclipsePrint, a. s.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Operátor jedno a vícebarvových digitálních produkčních tiskových strojů, 9.9.2026 23:23:35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