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40BD3" Type="http://schemas.openxmlformats.org/officeDocument/2006/relationships/officeDocument" Target="/word/document.xml" /><Relationship Id="coreR50C40BD3" Type="http://schemas.openxmlformats.org/package/2006/relationships/metadata/core-properties" Target="/docProps/core.xml" /><Relationship Id="customR50C40B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jízdného a přirážky,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22.10.2026 10:15:24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https://www.nsp.cz/jednotka-prace/kontrolor-prepravy-cestuj#zdravotni-zpusobilost).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A2.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podle použité technologie odbavovacích systémů, a vyřešit modelovou situaci zaměřenou na porušení přepravních a tarifních podmínek stanovených vyhláškou č. 175/2000 Sb. o přepravním řádu ve znění pozdějších předpisů, Cenovým věstníkem MF ČR a dalšími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ve znění pozdějších předpisů, zákon č.111/1994 Sb., o silniční dopravě, ve znění pozdějších předpisů, zákon č. 194/2010 Sb., o veřejných službách v dopravě, ve znění pozdějších předpisů, přepravní řády, smluvní přepravní podmínky, tarify apod.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jízdné a přirážku a dále když nemá potřebné finanční prostředky.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vedení dokumentace v oblasti přepravy cestujících dostane uchazeč 2 úkoly zpracování výsledků 2 kontrol přepravy cestujících v různých druzích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22.10.2026 10:15:24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DOPRAVNÍCH, SPEDIČNÍCH A SERVISNÍCH SPOLEČNOSTÍ STŘEDNÍCH ČECH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ARRIVA STŘEDNÍ ČECHY,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hl.m. Prahy,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22.10.2026 10:15:24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