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F173C" Type="http://schemas.openxmlformats.org/officeDocument/2006/relationships/officeDocument" Target="/word/document.xml" /><Relationship Id="coreR130F173C" Type="http://schemas.openxmlformats.org/package/2006/relationships/metadata/core-properties" Target="/docProps/core.xml" /><Relationship Id="customR130F1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základních estetických zákonitostí ve vázání a aranžování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základním sortimentu rostlin, technickém a dekoračním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nářadí; jeho využívání v aranžování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rostlinného materiálu včetně prodloužení trvanlivosti živých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vazačské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do nádob, zhotovení výrobků z živého i suchého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Kalkulace vazačských a aranžérských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prodej floristických výrobků a doplňkového zahradnického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