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70C45D" Type="http://schemas.openxmlformats.org/officeDocument/2006/relationships/officeDocument" Target="/word/document.xml" /><Relationship Id="coreR7D70C45D" Type="http://schemas.openxmlformats.org/package/2006/relationships/metadata/core-properties" Target="/docProps/core.xml" /><Relationship Id="customR7D70C4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Květinář (kód: 41-037-H)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Kultivační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obsluha traktorů a jiné mechanizace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Poznávání taxonů květin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Rozmnožování květin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Výsadba a ošetřování různých skupin a taxonů květin během vegetace ve venkovních podmínkách i krytých prostorách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Aplikace ochranných prostředků proti chorobám a škůdcům okrasných rostlin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Sklizeň, třídění, skladování a expedice různých skupin květin a jejich úprava pro prodej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07.11.2007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Květinář, 30.9.2026 7:37:21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 v zemědělství. Je vhodné, podle stavu počasí a vývoje rostlin, kumulovat vše tak, aby jednotlivé kompetence mohly být ověřeny v nejpříhodnějším období. Současně je vhodné při jejich ověřování postupovat od jednodušších ke komplikovanějším.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Sestava kompetencí pro uznání této dílčí kvalifikace je poměrně rozsáhlá – to mimo jiné vypovídá o její profesní náročnosti. Z tohoto důvodu, ale také s přihlédnutím k výrobnímu zaměření a vybavení ověřovacího pracoviště, není nutné ve všech případech splnit všechna kritéria – mnohde je odpovídající i slovní vyjádření.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Květinář, 30.9.2026 7:37:21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Květinář, 30.9.2026 7:37:21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