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AD2199" Type="http://schemas.openxmlformats.org/officeDocument/2006/relationships/officeDocument" Target="/word/document.xml" /><Relationship Id="coreR70AD2199" Type="http://schemas.openxmlformats.org/package/2006/relationships/metadata/core-properties" Target="/docProps/core.xml" /><Relationship Id="customR70AD21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konstruktér / kamnářka konstruktérka individuálně stavěných topidel (kód: 36-125-H)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konstruktér / kamnářka konstruktérka individuálně stavěných topidel, 20.4.2026 0:51:06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Kamnář (kód: 36-67-H/02)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521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Výtvarné zpracování keramiky a porcelánu (kód: 82-41-M/12)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13"/>
        <w:rPr>
          <w:rStyle w:val="C15"/>
          <w:rtl w:val="0"/>
        </w:rPr>
      </w:pPr>
      <w:r>
        <w:rPr>
          <w:rStyle w:val="C15"/>
          <w:rtl w:val="0"/>
        </w:rPr>
        <w:t>Platnost od 29.11.2016 do 6.4.2021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6"/>
        <w:framePr w:w="10710" w:h="113" w:hRule="exact" w:wrap="none" w:vAnchor="page" w:hAnchor="margin" w:x="28" w:y="71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6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918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166"/>
        <w:rPr>
          <w:rStyle w:val="C13"/>
          <w:rtl w:val="0"/>
        </w:rPr>
      </w:pPr>
      <w:r>
        <w:rPr>
          <w:rStyle w:val="C13"/>
          <w:rtl w:val="0"/>
        </w:rPr>
        <w:t>Úplnou profesní kvalifikaci Kamnář (kód: 36-99-H/36)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7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58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9026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9274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9521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9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83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151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103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6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6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02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6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02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32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83"/>
        <w:rPr>
          <w:rStyle w:val="C18"/>
          <w:rtl w:val="0"/>
        </w:rPr>
      </w:pPr>
      <w:r>
        <w:rPr>
          <w:rStyle w:val="C18"/>
          <w:rtl w:val="0"/>
        </w:rPr>
        <w:t>Kamnář</w:t>
      </w:r>
    </w:p>
    <w:p>
      <w:pPr>
        <w:pStyle w:val="P20"/>
        <w:framePr w:w="5338" w:h="376" w:hRule="exact" w:wrap="none" w:vAnchor="page" w:hAnchor="margin" w:x="5383" w:y="1132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8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konstruktér / kamnářka konstruktérka individuálně stavěných topidel, 20.4.2026 0:51:06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