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80F962" Type="http://schemas.openxmlformats.org/officeDocument/2006/relationships/officeDocument" Target="/word/document.xml" /><Relationship Id="coreR5580F962" Type="http://schemas.openxmlformats.org/package/2006/relationships/metadata/core-properties" Target="/docProps/core.xml" /><Relationship Id="customR5580F9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recyklaci odpadů a druhotných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základního třídění odpadů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ručního nářadí a technických prostředků k třídění a manipulaci s odpady a druhotnými surovinami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odborné katalogy, firemní materiály apod.).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dovednost uchazeče využívat návody a předpisy v reálných podmínkách, a to z hlediska bezpečnosti práce, kvality roztřídění druhotných surovin a nakládání s nebezpečnými odpady.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směsi odpadů pro účel roztřídění bude uchazeč vycházet z informace zkoušejícího, jak je vzorek deklarován a jaké odpady obsahuje; jeho úkolem je podle tvaru a barvy odpadu rozlišit druhy (u šedě zbarvených kovů a výrobků z plastů může uchazeč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odpadů, součástek a materiálů, snímků plastových lahví, označení materiálu pro účely recyklace) a svůj postup zdůvodní. Pro tuto činnost uchazeč použije předepsané osobní ochranné pracovní prostředky, sám vybere vhodné nářadí.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autorizované osoby. Pro tuto činnost použije předepsané osobní ochranné pracovní prostředky a nářadí.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způsoby ověření "praktické předvedení" a „praktické předvedení a ústní ověření“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zvoleného postupu či řešení.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