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82A30" Type="http://schemas.openxmlformats.org/officeDocument/2006/relationships/officeDocument" Target="/word/document.xml" /><Relationship Id="coreR7BB82A30" Type="http://schemas.openxmlformats.org/package/2006/relationships/metadata/core-properties" Target="/docProps/core.xml" /><Relationship Id="customR7BB82A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30.9.2026 6:46:06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odborné katalogy, firemní materiály apod.).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dovednost uchazeče využívat návody a předpisy v reálných podmínkách, a to z hlediska bezpečnosti práce, kvality roztřídění druhotných surovin a nakládání s nebezpečnými odpady.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směsi odpadů pro účel roztřídění bude uchazeč vycházet z informace zkoušejícího, jak je vzorek deklarován a jaké odpady obsahuje; jeho úkolem je podle tvaru a barvy odpadu rozlišit druhy (u šedě zbarvených kovů a výrobků z plastů může uchazeč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odpadů, součástek a materiálů, snímků plastových lahví, označení materiálu pro účely recyklace) a svůj postup zdůvodní. Pro tuto činnost uchazeč použije předepsané osobní ochranné pracovní prostředky, sám vybere vhodné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autorizované osoby. Pro tuto činnost použije předepsané osobní ochranné pracovní prostředky a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ověření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zvoleného postupu či řešení.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30.9.2026 6:46:06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30.9.2026 6:46:06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