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0E8E0" Type="http://schemas.openxmlformats.org/officeDocument/2006/relationships/officeDocument" Target="/word/document.xml" /><Relationship Id="coreR6BA0E8E0" Type="http://schemas.openxmlformats.org/package/2006/relationships/metadata/core-properties" Target="/docProps/core.xml" /><Relationship Id="customR6BA0E8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recyklaci odpadů a druhotných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základního třídění odpadů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ručního nářadí a technických prostředků k třídění a manipulaci s odpady a druhotnými surovinami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20.10.2026 10:53:36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odborné katalogy, firemní materiály apod.).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dovednost uchazeče využívat návody a předpisy v reálných podmínkách, a to z hlediska bezpečnosti práce, kvality roztřídění druhotných surovin a nakládání s nebezpečnými odpady.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směsi odpadů pro účel roztřídění bude uchazeč vycházet z informace zkoušejícího, jak je vzorek deklarován a jaké odpady obsahuje; jeho úkolem je podle tvaru a barvy odpadu rozlišit druhy (u šedě zbarvených kovů a výrobků z plastů může uchazeč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odpadů, součástek a materiálů, snímků plastových lahví, označení materiálu pro účely recyklace) a svůj postup zdůvodní. Pro tuto činnost uchazeč použije předepsané osobní ochranné pracovní prostředky, sám vybere vhodné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autorizované osoby. Pro tuto činnost použije předepsané osobní ochranné pracovní prostředky a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ověření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zvoleného postupu či řešení.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20.10.2026 10:53:36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20.10.2026 10:53:36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