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45B44" Type="http://schemas.openxmlformats.org/officeDocument/2006/relationships/officeDocument" Target="/word/document.xml" /><Relationship Id="coreR59145B44" Type="http://schemas.openxmlformats.org/package/2006/relationships/metadata/core-properties" Target="/docProps/core.xml" /><Relationship Id="customR59145B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Vizuální hodnocení druhů separovaných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manipulačním zařízením k uchopení, zvedání, nakládání, přemístění kusového a drobného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a ošetřování ručního nářadí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interních předpisech a normách pro odpady a druhotné suroviny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28.01.2014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by měla být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by měl vědět,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nebo obal by měl uchazeč při praktickém ověření vybírat z předložených katalogů.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interní dokumenty (provozní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popisu funkce staveb a koncových zařízení v recyklačním provozu by uchazeč měl umět zdůvodnit, proč některé činnosti mohou probíhat jen na vymezených místech provozu.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‒ Sdružení pro výkup a zpracování druhotných surovin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– Svaz průmyslu druhotných surovin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 Recycling,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