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13CB5D" Type="http://schemas.openxmlformats.org/officeDocument/2006/relationships/officeDocument" Target="/word/document.xml" /><Relationship Id="coreR7313CB5D" Type="http://schemas.openxmlformats.org/package/2006/relationships/metadata/core-properties" Target="/docProps/core.xml" /><Relationship Id="customR7313CB5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Krajinář (kód: 41-038-H)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Poznávání taxonů okrasných rostlin používaných pro venkovní výsadby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Výsadba okrasných rostlin včetně ošetření po výsadbě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Kultivační práce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ochranných prostředků proti chorobám a škůdcům okrasných rostlin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Způsoby řezu okrasných dřevin na trvalém stanovišti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Zakládání a údržba travnatých ploch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Měřičské práce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sadovnickém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 zahrad, parků a krajiny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07.11.2007 do: 23.01.2013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přípravě na ověřování kompetencí je zapotřebí respektovat průběh vegetačního roku v zemědělství. Je vhodné, podle stavu počasí a vývoje rostlin, kumulovat vše tak, aby jednotlivá kritéria mohla být splněna v nejpříhodnějším období. Současně je vhodné při jejich ověřování postupovat od jednodušších ke komplikovanějším.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Sestava kompetencí pro uznání této dílčí kvalifikace je poměrně rozsáhlá – to mimo jiné vypovídá o její profesní náročnosti. Z tohoto důvodu, ale také s přihlédnutím k výrobnímu zaměření a vybavení ověřovacího pracoviště, není nutné ve všech případech splnit všechna kritéria – mnohde je odpovídající i slovní vyjádření.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Krajinář, 11.9.2026 20:13:33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