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533457" Type="http://schemas.openxmlformats.org/officeDocument/2006/relationships/officeDocument" Target="/word/document.xml" /><Relationship Id="coreR62533457" Type="http://schemas.openxmlformats.org/package/2006/relationships/metadata/core-properties" Target="/docProps/core.xml" /><Relationship Id="customR625334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Vyměřování sadovnické a krajinářské úpravy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vzrostlé a památné stromy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stavebních prvků v krajině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05.11.2012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9:42:28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jednotlivá kritéria mohla být splněna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9:42:28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20.10.2026 9:42:28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