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E41AC" Type="http://schemas.openxmlformats.org/officeDocument/2006/relationships/officeDocument" Target="/word/document.xml" /><Relationship Id="coreR3F3E41AC" Type="http://schemas.openxmlformats.org/package/2006/relationships/metadata/core-properties" Target="/docProps/core.xml" /><Relationship Id="customR3F3E41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Evidování technických dat o průběhu a výsledcích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Elektrotechnik pro automatickou identifikaci RFID, 31.7.2026 14:47:13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zdůvodnění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zdůvodnění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Popsat účinky elektrického proudu na člověka. Za splnění kritéria se považuje uvedení příkladů přímých a nepřímých účinků elektrického proudu na lidský organismus, vliv velikosti a frekvence proudu a doby jeho působení</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Písemné ověření s ústním vysvětlením</w:t>
      </w:r>
    </w:p>
    <w:p>
      <w:pPr>
        <w:pStyle w:val="P16"/>
        <w:framePr w:w="6710" w:h="1055" w:hRule="exact" w:wrap="none" w:vAnchor="page" w:hAnchor="margin" w:x="45" w:y="7975"/>
        <w:rPr>
          <w:rStyle w:val="C3"/>
          <w:rtl w:val="0"/>
        </w:rPr>
      </w:pPr>
    </w:p>
    <w:p>
      <w:pPr>
        <w:pStyle w:val="P17"/>
        <w:framePr w:w="6658" w:h="928" w:hRule="exact" w:wrap="none" w:vAnchor="page" w:hAnchor="margin" w:x="71" w:y="8031"/>
        <w:rPr>
          <w:rStyle w:val="C13"/>
          <w:rtl w:val="0"/>
        </w:rPr>
      </w:pPr>
      <w:r>
        <w:rPr>
          <w:rStyle w:val="C13"/>
          <w:rtl w:val="0"/>
        </w:rPr>
        <w:t>b) Popsat poskytnutí první pomoci při úrazu elektrickým výbojem. Za splnění kritéria se považuje znalost poskytnutí první pomoci při úrazu elektrickým výbojem, specifické následky výboje na organizmus, určení priorit při ošetření</w:t>
      </w:r>
    </w:p>
    <w:p>
      <w:pPr>
        <w:pStyle w:val="P30"/>
        <w:framePr w:w="3921" w:h="1055" w:hRule="exact" w:wrap="none" w:vAnchor="page" w:hAnchor="margin" w:x="6800" w:y="7975"/>
        <w:rPr>
          <w:rStyle w:val="C3"/>
          <w:rtl w:val="0"/>
        </w:rPr>
      </w:pPr>
    </w:p>
    <w:p>
      <w:pPr>
        <w:pStyle w:val="P31"/>
        <w:framePr w:w="3839" w:h="928" w:hRule="exact" w:wrap="none" w:vAnchor="page" w:hAnchor="margin" w:x="6856" w:y="8031"/>
        <w:rPr>
          <w:rStyle w:val="C22"/>
          <w:rtl w:val="0"/>
        </w:rPr>
      </w:pPr>
      <w:r>
        <w:rPr>
          <w:rStyle w:val="C22"/>
          <w:rtl w:val="0"/>
        </w:rPr>
        <w:t>Písemné ověření s ústním vysvětlením</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poskytnutí první pomoci při úrazu elektrickým proudem. Za splnění kritéria se považuje znalost poskytnutí první pomoci při úrazu elektrickým proudem, postup záchranných prací v závislosti na rozsahu úrazu (vyproštění, ověření životních funkcí, oživovací pokusy, ošetření poranění, přivolání lékařské pomoci)</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Písemné ověření s ústním vysvětlením</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Praktické předvedení a ústní zdůvodnění</w:t>
      </w:r>
    </w:p>
    <w:p>
      <w:pPr>
        <w:pStyle w:val="P32"/>
        <w:framePr w:w="10710" w:h="248" w:hRule="exact" w:wrap="none" w:vAnchor="page" w:hAnchor="margin" w:x="28" w:y="11254"/>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Návrh a montáž systému pro automatickou identifikaci RFID</w:t>
      </w:r>
    </w:p>
    <w:p>
      <w:pPr>
        <w:pStyle w:val="P24"/>
        <w:framePr w:w="6713" w:h="376" w:hRule="exact" w:wrap="none" w:vAnchor="page" w:hAnchor="margin" w:x="45" w:y="12129"/>
        <w:rPr>
          <w:rStyle w:val="C3"/>
          <w:rtl w:val="0"/>
        </w:rPr>
      </w:pPr>
    </w:p>
    <w:p>
      <w:pPr>
        <w:pStyle w:val="P25"/>
        <w:framePr w:w="6661" w:h="249" w:hRule="exact" w:wrap="none" w:vAnchor="page" w:hAnchor="margin" w:x="71" w:y="12200"/>
        <w:rPr>
          <w:rStyle w:val="C19"/>
          <w:rtl w:val="0"/>
        </w:rPr>
      </w:pPr>
      <w:r>
        <w:rPr>
          <w:rStyle w:val="C19"/>
          <w:rtl w:val="0"/>
        </w:rPr>
        <w:t>Kritéria hodnocení</w:t>
      </w:r>
    </w:p>
    <w:p>
      <w:pPr>
        <w:pStyle w:val="P26"/>
        <w:framePr w:w="3918" w:h="376" w:hRule="exact" w:wrap="none" w:vAnchor="page" w:hAnchor="margin" w:x="6803" w:y="12129"/>
        <w:rPr>
          <w:rStyle w:val="C3"/>
          <w:rtl w:val="0"/>
        </w:rPr>
      </w:pPr>
    </w:p>
    <w:p>
      <w:pPr>
        <w:pStyle w:val="P27"/>
        <w:framePr w:w="3836" w:h="249" w:hRule="exact" w:wrap="none" w:vAnchor="page" w:hAnchor="margin" w:x="6859" w:y="12200"/>
        <w:rPr>
          <w:rStyle w:val="C20"/>
          <w:rtl w:val="0"/>
        </w:rPr>
      </w:pPr>
      <w:r>
        <w:rPr>
          <w:rStyle w:val="C20"/>
          <w:rtl w:val="0"/>
        </w:rPr>
        <w:t>Způsoby ověření</w:t>
      </w:r>
    </w:p>
    <w:p>
      <w:pPr>
        <w:pStyle w:val="P12"/>
        <w:framePr w:w="6710" w:h="607" w:hRule="exact" w:wrap="none" w:vAnchor="page" w:hAnchor="margin" w:x="45" w:y="12505"/>
        <w:rPr>
          <w:rStyle w:val="C3"/>
          <w:rtl w:val="0"/>
        </w:rPr>
      </w:pPr>
    </w:p>
    <w:p>
      <w:pPr>
        <w:pStyle w:val="P13"/>
        <w:framePr w:w="6658" w:h="480" w:hRule="exact" w:wrap="none" w:vAnchor="page" w:hAnchor="margin" w:x="71" w:y="12561"/>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12505"/>
        <w:rPr>
          <w:rStyle w:val="C3"/>
          <w:rtl w:val="0"/>
        </w:rPr>
      </w:pPr>
    </w:p>
    <w:p>
      <w:pPr>
        <w:pStyle w:val="P29"/>
        <w:framePr w:w="3839" w:h="480" w:hRule="exact" w:wrap="none" w:vAnchor="page" w:hAnchor="margin" w:x="6856" w:y="12561"/>
        <w:rPr>
          <w:rStyle w:val="C21"/>
          <w:rtl w:val="0"/>
        </w:rPr>
      </w:pPr>
      <w:r>
        <w:rPr>
          <w:rStyle w:val="C21"/>
          <w:rtl w:val="0"/>
        </w:rPr>
        <w:t>Praktické předvedení a ústní zdůvodnění</w:t>
      </w:r>
    </w:p>
    <w:p>
      <w:pPr>
        <w:pStyle w:val="P16"/>
        <w:framePr w:w="6710" w:h="607" w:hRule="exact" w:wrap="none" w:vAnchor="page" w:hAnchor="margin" w:x="45" w:y="13112"/>
        <w:rPr>
          <w:rStyle w:val="C3"/>
          <w:rtl w:val="0"/>
        </w:rPr>
      </w:pPr>
    </w:p>
    <w:p>
      <w:pPr>
        <w:pStyle w:val="P17"/>
        <w:framePr w:w="6658" w:h="480" w:hRule="exact" w:wrap="none" w:vAnchor="page" w:hAnchor="margin" w:x="71" w:y="13168"/>
        <w:rPr>
          <w:rStyle w:val="C13"/>
          <w:rtl w:val="0"/>
        </w:rPr>
      </w:pPr>
      <w:r>
        <w:rPr>
          <w:rStyle w:val="C13"/>
          <w:rtl w:val="0"/>
        </w:rPr>
        <w:t>b) Nakreslit blokové schéma zvoleného identifikačního systému pro konkrétní aplikaci</w:t>
      </w:r>
    </w:p>
    <w:p>
      <w:pPr>
        <w:pStyle w:val="P30"/>
        <w:framePr w:w="3921" w:h="607" w:hRule="exact" w:wrap="none" w:vAnchor="page" w:hAnchor="margin" w:x="6800" w:y="13112"/>
        <w:rPr>
          <w:rStyle w:val="C3"/>
          <w:rtl w:val="0"/>
        </w:rPr>
      </w:pPr>
    </w:p>
    <w:p>
      <w:pPr>
        <w:pStyle w:val="P31"/>
        <w:framePr w:w="3839" w:h="480" w:hRule="exact" w:wrap="none" w:vAnchor="page" w:hAnchor="margin" w:x="6856" w:y="13168"/>
        <w:rPr>
          <w:rStyle w:val="C22"/>
          <w:rtl w:val="0"/>
        </w:rPr>
      </w:pPr>
      <w:r>
        <w:rPr>
          <w:rStyle w:val="C22"/>
          <w:rtl w:val="0"/>
        </w:rPr>
        <w:t>Praktické předvedení a ústní zdůvodnění</w:t>
      </w:r>
    </w:p>
    <w:p>
      <w:pPr>
        <w:pStyle w:val="P12"/>
        <w:framePr w:w="6710" w:h="376" w:hRule="exact" w:wrap="none" w:vAnchor="page" w:hAnchor="margin" w:x="45" w:y="13719"/>
        <w:rPr>
          <w:rStyle w:val="C3"/>
          <w:rtl w:val="0"/>
        </w:rPr>
      </w:pPr>
    </w:p>
    <w:p>
      <w:pPr>
        <w:pStyle w:val="P13"/>
        <w:framePr w:w="6658" w:h="249" w:hRule="exact" w:wrap="none" w:vAnchor="page" w:hAnchor="margin" w:x="71" w:y="13775"/>
        <w:rPr>
          <w:rStyle w:val="C11"/>
          <w:rtl w:val="0"/>
        </w:rPr>
      </w:pPr>
      <w:r>
        <w:rPr>
          <w:rStyle w:val="C11"/>
          <w:rtl w:val="0"/>
        </w:rPr>
        <w:t>c) Zpracovat kompletní technickou dokumentaci pro montáž</w:t>
      </w:r>
    </w:p>
    <w:p>
      <w:pPr>
        <w:pStyle w:val="P28"/>
        <w:framePr w:w="3921" w:h="376" w:hRule="exact" w:wrap="none" w:vAnchor="page" w:hAnchor="margin" w:x="6800" w:y="13719"/>
        <w:rPr>
          <w:rStyle w:val="C3"/>
          <w:rtl w:val="0"/>
        </w:rPr>
      </w:pPr>
    </w:p>
    <w:p>
      <w:pPr>
        <w:pStyle w:val="P29"/>
        <w:framePr w:w="3839" w:h="249" w:hRule="exact" w:wrap="none" w:vAnchor="page" w:hAnchor="margin" w:x="6856" w:y="13775"/>
        <w:rPr>
          <w:rStyle w:val="C21"/>
          <w:rtl w:val="0"/>
        </w:rPr>
      </w:pPr>
      <w:r>
        <w:rPr>
          <w:rStyle w:val="C21"/>
          <w:rtl w:val="0"/>
        </w:rPr>
        <w:t>Praktické předvedení a ústní zdůvodnění</w:t>
      </w:r>
    </w:p>
    <w:p>
      <w:pPr>
        <w:pStyle w:val="P16"/>
        <w:framePr w:w="6710" w:h="607" w:hRule="exact" w:wrap="none" w:vAnchor="page" w:hAnchor="margin" w:x="45" w:y="14095"/>
        <w:rPr>
          <w:rStyle w:val="C3"/>
          <w:rtl w:val="0"/>
        </w:rPr>
      </w:pPr>
    </w:p>
    <w:p>
      <w:pPr>
        <w:pStyle w:val="P17"/>
        <w:framePr w:w="6658" w:h="480" w:hRule="exact" w:wrap="none" w:vAnchor="page" w:hAnchor="margin" w:x="71" w:y="14151"/>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4095"/>
        <w:rPr>
          <w:rStyle w:val="C3"/>
          <w:rtl w:val="0"/>
        </w:rPr>
      </w:pPr>
    </w:p>
    <w:p>
      <w:pPr>
        <w:pStyle w:val="P31"/>
        <w:framePr w:w="3839" w:h="480" w:hRule="exact" w:wrap="none" w:vAnchor="page" w:hAnchor="margin" w:x="6856" w:y="14151"/>
        <w:rPr>
          <w:rStyle w:val="C22"/>
          <w:rtl w:val="0"/>
        </w:rPr>
      </w:pPr>
      <w:r>
        <w:rPr>
          <w:rStyle w:val="C22"/>
          <w:rtl w:val="0"/>
        </w:rPr>
        <w:t>Praktické předvedení a ústní zdůvodnění</w:t>
      </w:r>
    </w:p>
    <w:p>
      <w:pPr>
        <w:pStyle w:val="P12"/>
        <w:framePr w:w="6710" w:h="607" w:hRule="exact" w:wrap="none" w:vAnchor="page" w:hAnchor="margin" w:x="45" w:y="14702"/>
        <w:rPr>
          <w:rStyle w:val="C3"/>
          <w:rtl w:val="0"/>
        </w:rPr>
      </w:pPr>
    </w:p>
    <w:p>
      <w:pPr>
        <w:pStyle w:val="P13"/>
        <w:framePr w:w="6658" w:h="480" w:hRule="exact" w:wrap="none" w:vAnchor="page" w:hAnchor="margin" w:x="71" w:y="14758"/>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4702"/>
        <w:rPr>
          <w:rStyle w:val="C3"/>
          <w:rtl w:val="0"/>
        </w:rPr>
      </w:pPr>
    </w:p>
    <w:p>
      <w:pPr>
        <w:pStyle w:val="P29"/>
        <w:framePr w:w="3839" w:h="480" w:hRule="exact" w:wrap="none" w:vAnchor="page" w:hAnchor="margin" w:x="6856" w:y="14758"/>
        <w:rPr>
          <w:rStyle w:val="C21"/>
          <w:rtl w:val="0"/>
        </w:rPr>
      </w:pPr>
      <w:r>
        <w:rPr>
          <w:rStyle w:val="C21"/>
          <w:rtl w:val="0"/>
        </w:rPr>
        <w:t>Praktické předvedení a ústní zdůvodnění</w:t>
      </w:r>
    </w:p>
    <w:p>
      <w:pPr>
        <w:pStyle w:val="P32"/>
        <w:framePr w:w="10710" w:h="248" w:hRule="exact" w:wrap="none" w:vAnchor="page" w:hAnchor="margin" w:x="28" w:y="15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31.7.2026 14:47:13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elektrické veličiny a 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zdůvodnění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zdůvodnění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Detekovat závadu na určeném systému automatické identifikace, provést opravu zařízení (systému) a otestovat jeho správnou funkci po opravě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zdůvodnění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Evidování technických dat o průběhu a výsledcích práce</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Zaznamenat data z měření (základní elektrické veličiny)</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zdůvodnění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Zaznamenat průběh zkoušek a pokusů</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zdůvodnění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Zpracovat protokol o měření se všemi jeho náležitostmi</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a ústní zdůvodnění</w:t>
      </w:r>
    </w:p>
    <w:p>
      <w:pPr>
        <w:pStyle w:val="P32"/>
        <w:framePr w:w="10710" w:h="248" w:hRule="exact" w:wrap="none" w:vAnchor="page" w:hAnchor="margin" w:x="28" w:y="11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31.7.2026 14:47:13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http://katalog.nsp.cz/karta_p.aspx?id_jp=5100&amp;kod_sm1=38).</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pro automatickou identifikaci RFID, 31.7.2026 14:47:13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pro práci na elektrotechnických a elektronických zařízeních v oblasti automatické identifikace nebo funkce učitele odborného výcviku v některém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„Elektrotechnik pro automatickou identifikaci RFID“ a minimálně 10 let praxe na pozici vyžadující odbornou způsobilost pro práci na elektrotechnických a elektronických zařízeních v oblasti automatické identifikace nebo funkce učitele odborného výcviku v některém z výše uvedených oborů, z toho minimálně jeden rok v období posledních dvou let před podáním žádosti o udělení autorizace.</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pro automatickou identifikaci RFID, 31.7.2026 14:47:13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68"/>
        <w:rPr>
          <w:rStyle w:val="C3"/>
          <w:rtl w:val="0"/>
        </w:rPr>
      </w:pPr>
    </w:p>
    <w:p>
      <w:pPr>
        <w:pStyle w:val="P35"/>
        <w:framePr w:w="10710" w:h="340" w:hRule="exact" w:wrap="none" w:vAnchor="page" w:hAnchor="margin" w:x="28" w:y="9268"/>
        <w:rPr>
          <w:rStyle w:val="C25"/>
          <w:rtl w:val="0"/>
        </w:rPr>
      </w:pPr>
      <w:r>
        <w:rPr>
          <w:rStyle w:val="C25"/>
          <w:rtl w:val="0"/>
        </w:rPr>
        <w:t>Doba přípravy na zkoušku</w:t>
      </w:r>
    </w:p>
    <w:p>
      <w:pPr>
        <w:keepNext w:val="0"/>
        <w:keepLines w:val="0"/>
        <w:framePr w:w="10766" w:h="1036" w:hRule="exact" w:wrap="none" w:vAnchor="page" w:hAnchor="margin" w:x="0" w:y="9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pro automatickou identifikaci RFID, 31.7.2026 14:47:13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Elektrotechnik pro automatickou identifikaci RFID, 31.7.2026 14:47:13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7AF4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D26F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552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