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EA6AB7" Type="http://schemas.openxmlformats.org/officeDocument/2006/relationships/officeDocument" Target="/word/document.xml" /><Relationship Id="coreR61EA6AB7" Type="http://schemas.openxmlformats.org/package/2006/relationships/metadata/core-properties" Target="/docProps/core.xml" /><Relationship Id="customR61EA6A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produktmanažer (kód: 28-049-M)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produktmanažer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Kalkulace cen chemických výrobků a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podmínek pro realizaci zakázek v oblasti chemických výrob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legislativě související s daným chemickým výrobkem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dat a dalších podkladů pro prezentace chemického produktu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Technická podpora pracovníků prodeje chemických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technické dokumentace k zadání chemicko-technologické specifikace zákazníkem požadovaného produktu technickému a výrobnímu útvaru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Projednávání záležitostí s obchodními partnery ohledně chemických produktů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7.11.2026 17:58:15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oblast požadovaných znalostí a dovedností, zejména se jedná o zpracování či praktické předvedení zadaných úkolů.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 teoretické znalosti v oblasti obchodu s chemickými produkty, teoretické znalosti v oblasti legislativy chemických látek a směsí (zejména chemický zákon), teoretické znalosti v oblasti přepravy chemických produktů, přípravu podkladů pro obchodní jednání, specifikaci a prezentaci technických vlastností produktu, práci s technickou dokumentací, legislativou, telekomunikační a zobrazovací technikou.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Kalkulace cen chemických výrobků a služeb, kritérium hodnocení b); Orientace v legislativě související s daným chemickým výrobkem, kritérium hodnocení c); Technická podpora pracovníků prodeje chemických produktů, kritérium hodnocení b), autorizovaná osoba zadá výrobek, na základě kterého uchazeč splní daná kritéria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Stanovení podmínek pro realizaci zakázek v oblasti chemických výrob, kritétium hodnocení c), autorizovaná osoba zadá příklad (modelovou situaci), na základě kterého (které) uchazeč splní dané kritérium hodnocení; autorizovaná osoba připraví minimálně 1 modelovou situaci, maximálně 3 modelové situace. U odborné kompetence Orientace v technické dokumentaci a ve značení chemických látek, kritérium hodnocení a), autorizovaná osoba vybere jednu anorganickou a dvě organické látky pro splnění daného kritéria. Dále u odborné kompetence Orientace v technické dokumentaci a ve značení chemických látek, kritérium hodnocení b), autorizovaná osoba zadá kritéria, na základě kterých uchazeč splní dané kritérium hodnocení.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dat a dalších podkladů pro prezentace chemického produktu, kritérium hodnocení c), si uchazeč po konzultaci s autorizovanou osobou zvolí chemický produkt. U odborné kompetence Projednávání záležitostí s obchodními partnery ohledně chemických produktů, kritérium hodnocení c), autorizovaná osoba zadá podmínky, na základě kterých uchazeč splní dané kritérium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 výrobek/produkt/příklad vybere autorizovaná osoba z produktového portfolia firmy, kde je zkouška realizována.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7.11.2026 17:58:15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7.11.2026 17:58:15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