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678FFB0A" Type="http://schemas.openxmlformats.org/officeDocument/2006/relationships/officeDocument" Target="/word/document.xml" /><Relationship Id="coreR678FFB0A" Type="http://schemas.openxmlformats.org/package/2006/relationships/metadata/core-properties" Target="/docProps/core.xml" /><Relationship Id="customR678FFB0A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Chemický technik produktmanažer (kód: 28-049-M)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průmyslu a obchodu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Technická chemie a chemie silikátů (kód: 28)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Chemický technik produktmanažer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4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Příprava podkladů pro uzavírání obchodních smluv, popř. objednávek s obchodními partnery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607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480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Vedení požadovaných evidencí (evidence objednávek, zákazníků, vedení dokumentace a podkladů pro účetnictví apod.)</w:t>
      </w:r>
    </w:p>
    <w:p>
      <w:pPr>
        <w:pStyle w:val="P18"/>
        <w:framePr w:w="805" w:h="607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480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6603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659"/>
        <w:rPr>
          <w:rStyle w:val="C11"/>
          <w:rtl w:val="0"/>
        </w:rPr>
      </w:pPr>
      <w:r>
        <w:rPr>
          <w:rStyle w:val="C11"/>
          <w:rtl w:val="0"/>
        </w:rPr>
        <w:t>Kompletace a vybavování zásilek průvodní dokumentací pro odběratele, přepravce a celní a jiné orgány</w:t>
      </w:r>
    </w:p>
    <w:p>
      <w:pPr>
        <w:pStyle w:val="P14"/>
        <w:framePr w:w="805" w:h="376" w:hRule="exact" w:wrap="none" w:vAnchor="page" w:hAnchor="margin" w:x="9916" w:y="6603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659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6979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035"/>
        <w:rPr>
          <w:rStyle w:val="C13"/>
          <w:rtl w:val="0"/>
        </w:rPr>
      </w:pPr>
      <w:r>
        <w:rPr>
          <w:rStyle w:val="C13"/>
          <w:rtl w:val="0"/>
        </w:rPr>
        <w:t>Kalkulace cen, příprava podkladů pro fakturaci</w:t>
      </w:r>
    </w:p>
    <w:p>
      <w:pPr>
        <w:pStyle w:val="P18"/>
        <w:framePr w:w="805" w:h="376" w:hRule="exact" w:wrap="none" w:vAnchor="page" w:hAnchor="margin" w:x="9916" w:y="6979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035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607" w:hRule="exact" w:wrap="none" w:vAnchor="page" w:hAnchor="margin" w:x="45" w:y="7355"/>
        <w:rPr>
          <w:rStyle w:val="C3"/>
          <w:rtl w:val="0"/>
        </w:rPr>
      </w:pPr>
    </w:p>
    <w:p>
      <w:pPr>
        <w:pStyle w:val="P13"/>
        <w:framePr w:w="9774" w:h="480" w:hRule="exact" w:wrap="none" w:vAnchor="page" w:hAnchor="margin" w:x="71" w:y="7411"/>
        <w:rPr>
          <w:rStyle w:val="C11"/>
          <w:rtl w:val="0"/>
        </w:rPr>
      </w:pPr>
      <w:r>
        <w:rPr>
          <w:rStyle w:val="C11"/>
          <w:rtl w:val="0"/>
        </w:rPr>
        <w:t>Kontrola správnosti účetních dokladů (faktury, dodací listy), ale i všech ostatních podkladů v expedici vystavovaných nebo přijímaných</w:t>
      </w:r>
    </w:p>
    <w:p>
      <w:pPr>
        <w:pStyle w:val="P14"/>
        <w:framePr w:w="805" w:h="607" w:hRule="exact" w:wrap="none" w:vAnchor="page" w:hAnchor="margin" w:x="9916" w:y="7355"/>
        <w:rPr>
          <w:rStyle w:val="C3"/>
          <w:rtl w:val="0"/>
        </w:rPr>
      </w:pPr>
    </w:p>
    <w:p>
      <w:pPr>
        <w:pStyle w:val="P15"/>
        <w:framePr w:w="723" w:h="480" w:hRule="exact" w:wrap="none" w:vAnchor="page" w:hAnchor="margin" w:x="9972" w:y="7411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7962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8018"/>
        <w:rPr>
          <w:rStyle w:val="C13"/>
          <w:rtl w:val="0"/>
        </w:rPr>
      </w:pPr>
      <w:r>
        <w:rPr>
          <w:rStyle w:val="C13"/>
          <w:rtl w:val="0"/>
        </w:rPr>
        <w:t>Zařizování realizace zakázek včetně přepravy dovozních a vývozních zásilek</w:t>
      </w:r>
    </w:p>
    <w:p>
      <w:pPr>
        <w:pStyle w:val="P18"/>
        <w:framePr w:w="805" w:h="376" w:hRule="exact" w:wrap="none" w:vAnchor="page" w:hAnchor="margin" w:x="9916" w:y="7962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8018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8338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8394"/>
        <w:rPr>
          <w:rStyle w:val="C11"/>
          <w:rtl w:val="0"/>
        </w:rPr>
      </w:pPr>
      <w:r>
        <w:rPr>
          <w:rStyle w:val="C11"/>
          <w:rtl w:val="0"/>
        </w:rPr>
        <w:t>Orientace v technické dokumentaci a ve značení chemických látek</w:t>
      </w:r>
    </w:p>
    <w:p>
      <w:pPr>
        <w:pStyle w:val="P14"/>
        <w:framePr w:w="805" w:h="376" w:hRule="exact" w:wrap="none" w:vAnchor="page" w:hAnchor="margin" w:x="9916" w:y="8338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8394"/>
        <w:rPr>
          <w:rStyle w:val="C12"/>
          <w:rtl w:val="0"/>
        </w:rPr>
      </w:pPr>
      <w:r>
        <w:rPr>
          <w:rStyle w:val="C12"/>
          <w:rtl w:val="0"/>
        </w:rPr>
        <w:t>6</w:t>
      </w:r>
    </w:p>
    <w:p>
      <w:pPr>
        <w:pStyle w:val="P16"/>
        <w:framePr w:w="9826" w:h="376" w:hRule="exact" w:wrap="none" w:vAnchor="page" w:hAnchor="margin" w:x="45" w:y="8714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8770"/>
        <w:rPr>
          <w:rStyle w:val="C13"/>
          <w:rtl w:val="0"/>
        </w:rPr>
      </w:pPr>
      <w:r>
        <w:rPr>
          <w:rStyle w:val="C13"/>
          <w:rtl w:val="0"/>
        </w:rPr>
        <w:t>Orientace v legislativě související s chemickou výrobou</w:t>
      </w:r>
    </w:p>
    <w:p>
      <w:pPr>
        <w:pStyle w:val="P18"/>
        <w:framePr w:w="805" w:h="376" w:hRule="exact" w:wrap="none" w:vAnchor="page" w:hAnchor="margin" w:x="9916" w:y="8714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8770"/>
        <w:rPr>
          <w:rStyle w:val="C14"/>
          <w:rtl w:val="0"/>
        </w:rPr>
      </w:pPr>
      <w:r>
        <w:rPr>
          <w:rStyle w:val="C14"/>
          <w:rtl w:val="0"/>
        </w:rPr>
        <w:t>6</w:t>
      </w:r>
    </w:p>
    <w:p>
      <w:pPr>
        <w:pStyle w:val="P12"/>
        <w:framePr w:w="9826" w:h="607" w:hRule="exact" w:wrap="none" w:vAnchor="page" w:hAnchor="margin" w:x="45" w:y="9091"/>
        <w:rPr>
          <w:rStyle w:val="C3"/>
          <w:rtl w:val="0"/>
        </w:rPr>
      </w:pPr>
    </w:p>
    <w:p>
      <w:pPr>
        <w:pStyle w:val="P13"/>
        <w:framePr w:w="9774" w:h="480" w:hRule="exact" w:wrap="none" w:vAnchor="page" w:hAnchor="margin" w:x="71" w:y="9147"/>
        <w:rPr>
          <w:rStyle w:val="C11"/>
          <w:rtl w:val="0"/>
        </w:rPr>
      </w:pPr>
      <w:r>
        <w:rPr>
          <w:rStyle w:val="C11"/>
          <w:rtl w:val="0"/>
        </w:rPr>
        <w:t>Příprava dat a dalších podkladů pro prezentace chemického produktu, užitku, technických faktů, možnosti využití, potenciálního využití</w:t>
      </w:r>
    </w:p>
    <w:p>
      <w:pPr>
        <w:pStyle w:val="P14"/>
        <w:framePr w:w="805" w:h="607" w:hRule="exact" w:wrap="none" w:vAnchor="page" w:hAnchor="margin" w:x="9916" w:y="9091"/>
        <w:rPr>
          <w:rStyle w:val="C3"/>
          <w:rtl w:val="0"/>
        </w:rPr>
      </w:pPr>
    </w:p>
    <w:p>
      <w:pPr>
        <w:pStyle w:val="P15"/>
        <w:framePr w:w="723" w:h="480" w:hRule="exact" w:wrap="none" w:vAnchor="page" w:hAnchor="margin" w:x="9972" w:y="9147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9697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9753"/>
        <w:rPr>
          <w:rStyle w:val="C13"/>
          <w:rtl w:val="0"/>
        </w:rPr>
      </w:pPr>
      <w:r>
        <w:rPr>
          <w:rStyle w:val="C13"/>
          <w:rtl w:val="0"/>
        </w:rPr>
        <w:t>Administrativní a technická podpora pracovníků prodeje chemických produktů</w:t>
      </w:r>
    </w:p>
    <w:p>
      <w:pPr>
        <w:pStyle w:val="P18"/>
        <w:framePr w:w="805" w:h="376" w:hRule="exact" w:wrap="none" w:vAnchor="page" w:hAnchor="margin" w:x="9916" w:y="9697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9753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607" w:hRule="exact" w:wrap="none" w:vAnchor="page" w:hAnchor="margin" w:x="45" w:y="10074"/>
        <w:rPr>
          <w:rStyle w:val="C3"/>
          <w:rtl w:val="0"/>
        </w:rPr>
      </w:pPr>
    </w:p>
    <w:p>
      <w:pPr>
        <w:pStyle w:val="P13"/>
        <w:framePr w:w="9774" w:h="480" w:hRule="exact" w:wrap="none" w:vAnchor="page" w:hAnchor="margin" w:x="71" w:y="10130"/>
        <w:rPr>
          <w:rStyle w:val="C11"/>
          <w:rtl w:val="0"/>
        </w:rPr>
      </w:pPr>
      <w:r>
        <w:rPr>
          <w:rStyle w:val="C11"/>
          <w:rtl w:val="0"/>
        </w:rPr>
        <w:t>Zpracování technické dokumentace k zadání chemicko-technologické specifikace zákazníkem požadovaného produktu technickému a výrobnímu útvaru</w:t>
      </w:r>
    </w:p>
    <w:p>
      <w:pPr>
        <w:pStyle w:val="P14"/>
        <w:framePr w:w="805" w:h="607" w:hRule="exact" w:wrap="none" w:vAnchor="page" w:hAnchor="margin" w:x="9916" w:y="10074"/>
        <w:rPr>
          <w:rStyle w:val="C3"/>
          <w:rtl w:val="0"/>
        </w:rPr>
      </w:pPr>
    </w:p>
    <w:p>
      <w:pPr>
        <w:pStyle w:val="P15"/>
        <w:framePr w:w="723" w:h="480" w:hRule="exact" w:wrap="none" w:vAnchor="page" w:hAnchor="margin" w:x="9972" w:y="10130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10681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10737"/>
        <w:rPr>
          <w:rStyle w:val="C13"/>
          <w:rtl w:val="0"/>
        </w:rPr>
      </w:pPr>
      <w:r>
        <w:rPr>
          <w:rStyle w:val="C13"/>
          <w:rtl w:val="0"/>
        </w:rPr>
        <w:t>Projednávání běžných záležitostí s obchodními partnery včetně reklamačního řízení</w:t>
      </w:r>
    </w:p>
    <w:p>
      <w:pPr>
        <w:pStyle w:val="P18"/>
        <w:framePr w:w="805" w:h="376" w:hRule="exact" w:wrap="none" w:vAnchor="page" w:hAnchor="margin" w:x="9916" w:y="10681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10737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7"/>
        <w:framePr w:w="8788" w:h="340" w:hRule="exact" w:wrap="none" w:vAnchor="page" w:hAnchor="margin" w:x="28" w:y="11284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4283" w:h="248" w:hRule="exact" w:wrap="none" w:vAnchor="page" w:hAnchor="margin" w:x="28" w:y="11624"/>
        <w:rPr>
          <w:rStyle w:val="C15"/>
          <w:rtl w:val="0"/>
        </w:rPr>
      </w:pPr>
      <w:r>
        <w:rPr>
          <w:rStyle w:val="C15"/>
          <w:rtl w:val="0"/>
        </w:rPr>
        <w:t>Standard je platný od: 28.01.2014 do: 20.10.2019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Chemický technik produktmanažer, 28.9.2026 13:55:52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4116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keepNext w:val="0"/>
        <w:keepLines w:val="0"/>
        <w:framePr w:w="10766" w:h="3436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informuje, které doklady musí uchazeč předložit, aby zkouška proběhla v souladu s platnými právními předpisy.</w:t>
      </w:r>
    </w:p>
    <w:p>
      <w:pPr>
        <w:keepNext w:val="0"/>
        <w:keepLines w:val="0"/>
        <w:framePr w:w="10766" w:h="3436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Před zahájením vlastního ověřování musí být uchazeč seznámen s pracovištěm a s požadavky bezpečnosti a ochrany zdraví při práci (BOZP) a požární ochrany (PO). Zdravotní způsobilost není vyžadována.</w:t>
      </w:r>
    </w:p>
    <w:p>
      <w:pPr>
        <w:keepNext w:val="0"/>
        <w:keepLines w:val="0"/>
        <w:framePr w:w="10766" w:h="3436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3436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Při ověřování odborných způsobilostí bude třeba zadávat úkoly a příklady prověřující oblast požadovaných znalostí a dovedností, zejména se jedná o zpracování či praktické předvedení případových studií. Při hodnocení sleduje zkoušející propojení teoretických znalostí a jejich praktické využití v rámci studie.</w:t>
      </w:r>
    </w:p>
    <w:p>
      <w:pPr>
        <w:keepNext w:val="0"/>
        <w:keepLines w:val="0"/>
        <w:framePr w:w="10766" w:h="3436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Testování je třeba zaměřit na:</w:t>
      </w:r>
    </w:p>
    <w:p>
      <w:pPr>
        <w:keepNext w:val="0"/>
        <w:keepLines w:val="1"/>
        <w:framePr w:w="10766" w:h="3436" w:hRule="exact" w:wrap="none" w:vAnchor="page" w:hAnchor="margin" w:x="0" w:y="2835"/>
        <w:widowControl w:val="1"/>
        <w:numPr>
          <w:numId w:val="1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•teoretické znalosti v oblasti obchodu zaměřených na chemické produkty,</w:t>
      </w:r>
    </w:p>
    <w:p>
      <w:pPr>
        <w:keepNext w:val="0"/>
        <w:keepLines w:val="1"/>
        <w:framePr w:w="10766" w:h="3436" w:hRule="exact" w:wrap="none" w:vAnchor="page" w:hAnchor="margin" w:x="0" w:y="2835"/>
        <w:widowControl w:val="1"/>
        <w:numPr>
          <w:numId w:val="1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•přípravu pro obchodní jednání,</w:t>
      </w:r>
    </w:p>
    <w:p>
      <w:pPr>
        <w:keepNext w:val="0"/>
        <w:keepLines w:val="1"/>
        <w:framePr w:w="10766" w:h="3436" w:hRule="exact" w:wrap="none" w:vAnchor="page" w:hAnchor="margin" w:x="0" w:y="2835"/>
        <w:widowControl w:val="1"/>
        <w:numPr>
          <w:numId w:val="1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•specifikaci a prezentaci technických vlastností produktu,</w:t>
      </w:r>
    </w:p>
    <w:p>
      <w:pPr>
        <w:keepNext w:val="0"/>
        <w:keepLines w:val="1"/>
        <w:framePr w:w="10766" w:h="3436" w:hRule="exact" w:wrap="none" w:vAnchor="page" w:hAnchor="margin" w:x="0" w:y="2835"/>
        <w:widowControl w:val="1"/>
        <w:numPr>
          <w:numId w:val="1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•práci s dokumentací, telekomunikační a zobrazovací technikou.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Chemický technik produktmanažer, 28.9.2026 13:55:52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27"/>
        <w:framePr w:w="10710" w:h="282" w:hRule="exact" w:wrap="none" w:vAnchor="page" w:hAnchor="margin" w:x="28" w:y="2721"/>
        <w:rPr>
          <w:rStyle w:val="C20"/>
          <w:rtl w:val="0"/>
        </w:rPr>
      </w:pPr>
      <w:r>
        <w:rPr>
          <w:rStyle w:val="C20"/>
          <w:rtl w:val="0"/>
        </w:rPr>
        <w:t>Autoři kvalifikačního standardu</w:t>
      </w:r>
    </w:p>
    <w:p>
      <w:pPr>
        <w:keepNext w:val="0"/>
        <w:keepLines w:val="0"/>
        <w:framePr w:w="10766" w:h="1171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profesní kvalifikace připravila SR pro chemii, ustavená a licencovaná pro tuto činnost HK ČR a SP ČR.</w:t>
      </w:r>
    </w:p>
    <w:p>
      <w:pPr>
        <w:keepNext w:val="0"/>
        <w:keepLines w:val="0"/>
        <w:framePr w:w="10766" w:h="1171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171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0"/>
        <w:framePr w:w="10766" w:h="1171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Synthesia, a. s.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Chemický technik produktmanažer, 28.9.2026 13:55:52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3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>
  <w:abstractNum w:abstractNumId="0">
    <w:nsid w:val="14383570"/>
    <w:multiLevelType w:val="hybridMultilevel"/>
    <w:lvl w:ilvl="0" w:tplc="00000100">
      <w:start w:val="1"/>
      <w:numFmt w:val="bullet"/>
      <w:suff w:val="tab"/>
      <w:lvlText w:val="·"/>
      <w:lvlJc w:val="left"/>
      <w:pPr>
        <w:widowControl w:val="0"/>
        <w:ind w:hanging="360" w:left="360"/>
      </w:pPr>
      <w:rPr>
        <w:rFonts w:ascii="Symbol" w:cs="Symbol" w:hAnsi="Symbol" w:eastAsia="Symbol"/>
      </w:rPr>
    </w:lvl>
    <w:lvl w:ilvl="1" w:tplc="00000101">
      <w:start w:val="1"/>
      <w:numFmt w:val="bullet"/>
      <w:suff w:val="tab"/>
      <w:lvlText w:val="·"/>
      <w:lvlJc w:val="left"/>
      <w:pPr>
        <w:widowControl w:val="0"/>
        <w:ind w:hanging="360" w:left="720"/>
      </w:pPr>
      <w:rPr>
        <w:rFonts w:ascii="Symbol" w:cs="Symbol" w:hAnsi="Symbol" w:eastAsia="Symbol"/>
      </w:rPr>
    </w:lvl>
    <w:lvl w:ilvl="2" w:tplc="00000102">
      <w:start w:val="1"/>
      <w:numFmt w:val="bullet"/>
      <w:suff w:val="tab"/>
      <w:lvlText w:val="·"/>
      <w:lvlJc w:val="left"/>
      <w:pPr>
        <w:widowControl w:val="0"/>
        <w:ind w:hanging="360" w:left="1080"/>
      </w:pPr>
      <w:rPr>
        <w:rFonts w:ascii="Symbol" w:cs="Symbol" w:hAnsi="Symbol" w:eastAsia="Symbol"/>
      </w:rPr>
    </w:lvl>
    <w:lvl w:ilvl="3" w:tplc="00000103">
      <w:start w:val="1"/>
      <w:numFmt w:val="bullet"/>
      <w:suff w:val="tab"/>
      <w:lvlText w:val="·"/>
      <w:lvlJc w:val="left"/>
      <w:pPr>
        <w:widowControl w:val="0"/>
        <w:ind w:hanging="360" w:left="1440"/>
      </w:pPr>
      <w:rPr>
        <w:rFonts w:ascii="Symbol" w:cs="Symbol" w:hAnsi="Symbol" w:eastAsia="Symbol"/>
      </w:rPr>
    </w:lvl>
    <w:lvl w:ilvl="4" w:tplc="00000104">
      <w:start w:val="1"/>
      <w:numFmt w:val="bullet"/>
      <w:suff w:val="tab"/>
      <w:lvlText w:val="·"/>
      <w:lvlJc w:val="left"/>
      <w:pPr>
        <w:widowControl w:val="0"/>
        <w:ind w:hanging="360" w:left="1800"/>
      </w:pPr>
      <w:rPr>
        <w:rFonts w:ascii="Symbol" w:cs="Symbol" w:hAnsi="Symbol" w:eastAsia="Symbol"/>
      </w:rPr>
    </w:lvl>
    <w:lvl w:ilvl="5" w:tplc="00000105">
      <w:start w:val="1"/>
      <w:numFmt w:val="bullet"/>
      <w:suff w:val="tab"/>
      <w:lvlText w:val="·"/>
      <w:lvlJc w:val="left"/>
      <w:pPr>
        <w:widowControl w:val="0"/>
        <w:ind w:hanging="360" w:left="2160"/>
      </w:pPr>
      <w:rPr>
        <w:rFonts w:ascii="Symbol" w:cs="Symbol" w:hAnsi="Symbol" w:eastAsia="Symbol"/>
      </w:rPr>
    </w:lvl>
    <w:lvl w:ilvl="6" w:tplc="00000106">
      <w:start w:val="1"/>
      <w:numFmt w:val="bullet"/>
      <w:suff w:val="tab"/>
      <w:lvlText w:val="·"/>
      <w:lvlJc w:val="left"/>
      <w:pPr>
        <w:widowControl w:val="0"/>
        <w:ind w:hanging="360" w:left="2520"/>
      </w:pPr>
      <w:rPr>
        <w:rFonts w:ascii="Symbol" w:cs="Symbol" w:hAnsi="Symbol" w:eastAsia="Symbol"/>
      </w:rPr>
    </w:lvl>
    <w:lvl w:ilvl="7" w:tplc="00000107">
      <w:start w:val="1"/>
      <w:numFmt w:val="bullet"/>
      <w:suff w:val="tab"/>
      <w:lvlText w:val="·"/>
      <w:lvlJc w:val="left"/>
      <w:pPr>
        <w:widowControl w:val="0"/>
        <w:ind w:hanging="360" w:left="2880"/>
      </w:pPr>
      <w:rPr>
        <w:rFonts w:ascii="Symbol" w:cs="Symbol" w:hAnsi="Symbol" w:eastAsia="Symbol"/>
      </w:rPr>
    </w:lvl>
    <w:lvl w:ilvl="8" w:tplc="00000108">
      <w:start w:val="1"/>
      <w:numFmt w:val="bullet"/>
      <w:suff w:val="tab"/>
      <w:lvlText w:val="·"/>
      <w:lvlJc w:val="left"/>
      <w:pPr>
        <w:widowControl w:val="0"/>
        <w:ind w:hanging="360" w:left="3240"/>
      </w:pPr>
      <w:rPr>
        <w:rFonts w:ascii="Symbol" w:cs="Symbol" w:hAnsi="Symbol" w:eastAsia="Symbol"/>
      </w:rPr>
    </w:lvl>
  </w:abstractNum>
  <w:num w:numId="1">
    <w:abstractNumId w:val="0"/>
  </w:num>
</w:numbering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