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A8387" Type="http://schemas.openxmlformats.org/officeDocument/2006/relationships/officeDocument" Target="/word/document.xml" /><Relationship Id="coreR194A8387" Type="http://schemas.openxmlformats.org/package/2006/relationships/metadata/core-properties" Target="/docProps/core.xml" /><Relationship Id="customR194A83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složek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Orientace v dokumentaci potřebné pro investiční výstavbu v oblasti životního prostředí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složek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prostředí, vysvětlit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postupy odběru vzorků z jednotlivých složek životního prostředí a zadaný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standardizované postupy při stanovení požadovaných ukazatelů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přehled základních norem zabývajících se analýzou odebraných vzorků z jednotlivých složek životního prostředí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547" w:hRule="exact" w:wrap="none" w:vAnchor="page" w:hAnchor="margin" w:x="28" w:y="763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607" w:hRule="exact" w:wrap="none" w:vAnchor="page" w:hAnchor="margin" w:x="45" w:y="8660"/>
        <w:rPr>
          <w:rStyle w:val="C3"/>
          <w:rtl w:val="0"/>
        </w:rPr>
      </w:pPr>
    </w:p>
    <w:p>
      <w:pPr>
        <w:pStyle w:val="P13"/>
        <w:framePr w:w="6658" w:h="480" w:hRule="exact" w:wrap="none" w:vAnchor="page" w:hAnchor="margin" w:x="71" w:y="8716"/>
        <w:rPr>
          <w:rStyle w:val="C11"/>
          <w:rtl w:val="0"/>
        </w:rPr>
      </w:pPr>
      <w:r>
        <w:rPr>
          <w:rStyle w:val="C11"/>
          <w:rtl w:val="0"/>
        </w:rPr>
        <w:t>a) Navrhnout způsob monitorování znečišťujících látek z jednotlivých technologických procesů</w:t>
      </w:r>
    </w:p>
    <w:p>
      <w:pPr>
        <w:pStyle w:val="P28"/>
        <w:framePr w:w="3921" w:h="607" w:hRule="exact" w:wrap="none" w:vAnchor="page" w:hAnchor="margin" w:x="6800" w:y="8660"/>
        <w:rPr>
          <w:rStyle w:val="C3"/>
          <w:rtl w:val="0"/>
        </w:rPr>
      </w:pPr>
    </w:p>
    <w:p>
      <w:pPr>
        <w:pStyle w:val="P29"/>
        <w:framePr w:w="3839" w:h="480" w:hRule="exact" w:wrap="none" w:vAnchor="page" w:hAnchor="margin" w:x="6856" w:y="8716"/>
        <w:rPr>
          <w:rStyle w:val="C21"/>
          <w:rtl w:val="0"/>
        </w:rPr>
      </w:pPr>
      <w:r>
        <w:rPr>
          <w:rStyle w:val="C21"/>
          <w:rtl w:val="0"/>
        </w:rPr>
        <w:t>Praktické předvedení a ústní ověření</w:t>
      </w:r>
    </w:p>
    <w:p>
      <w:pPr>
        <w:pStyle w:val="P16"/>
        <w:framePr w:w="6710" w:h="607" w:hRule="exact" w:wrap="none" w:vAnchor="page" w:hAnchor="margin" w:x="45" w:y="9267"/>
        <w:rPr>
          <w:rStyle w:val="C3"/>
          <w:rtl w:val="0"/>
        </w:rPr>
      </w:pPr>
    </w:p>
    <w:p>
      <w:pPr>
        <w:pStyle w:val="P17"/>
        <w:framePr w:w="6658" w:h="480" w:hRule="exact" w:wrap="none" w:vAnchor="page" w:hAnchor="margin" w:x="71" w:y="9323"/>
        <w:rPr>
          <w:rStyle w:val="C13"/>
          <w:rtl w:val="0"/>
        </w:rPr>
      </w:pPr>
      <w:r>
        <w:rPr>
          <w:rStyle w:val="C13"/>
          <w:rtl w:val="0"/>
        </w:rPr>
        <w:t>b) Popsat nejlepší dostupnou technologii pro zadanou výrobu a uvést příslušnou legislativu</w:t>
      </w:r>
    </w:p>
    <w:p>
      <w:pPr>
        <w:pStyle w:val="P30"/>
        <w:framePr w:w="3921" w:h="607" w:hRule="exact" w:wrap="none" w:vAnchor="page" w:hAnchor="margin" w:x="6800" w:y="9267"/>
        <w:rPr>
          <w:rStyle w:val="C3"/>
          <w:rtl w:val="0"/>
        </w:rPr>
      </w:pPr>
    </w:p>
    <w:p>
      <w:pPr>
        <w:pStyle w:val="P31"/>
        <w:framePr w:w="3839" w:h="480" w:hRule="exact" w:wrap="none" w:vAnchor="page" w:hAnchor="margin" w:x="6856" w:y="9323"/>
        <w:rPr>
          <w:rStyle w:val="C22"/>
          <w:rtl w:val="0"/>
        </w:rPr>
      </w:pPr>
      <w:r>
        <w:rPr>
          <w:rStyle w:val="C22"/>
          <w:rtl w:val="0"/>
        </w:rPr>
        <w:t>Ústní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c) Navrhnout obsah hodnoticí zprávy vycházející z údajů zjištěných monitoringem a měřením klíčových technologických postupů a procesů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32"/>
        <w:framePr w:w="10710" w:h="248" w:hRule="exact" w:wrap="none" w:vAnchor="page" w:hAnchor="margin" w:x="28" w:y="10594"/>
        <w:rPr>
          <w:rStyle w:val="C23"/>
          <w:rtl w:val="0"/>
        </w:rPr>
      </w:pPr>
      <w:r>
        <w:rPr>
          <w:rStyle w:val="C23"/>
          <w:rtl w:val="0"/>
        </w:rPr>
        <w:t>Je třeba splnit všechna kritéria.</w:t>
      </w:r>
    </w:p>
    <w:p>
      <w:pPr>
        <w:pStyle w:val="P23"/>
        <w:framePr w:w="10710" w:h="340" w:hRule="exact" w:wrap="none" w:vAnchor="page" w:hAnchor="margin" w:x="28" w:y="11030"/>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469"/>
        <w:rPr>
          <w:rStyle w:val="C3"/>
          <w:rtl w:val="0"/>
        </w:rPr>
      </w:pPr>
    </w:p>
    <w:p>
      <w:pPr>
        <w:pStyle w:val="P25"/>
        <w:framePr w:w="6661" w:h="249" w:hRule="exact" w:wrap="none" w:vAnchor="page" w:hAnchor="margin" w:x="71" w:y="11540"/>
        <w:rPr>
          <w:rStyle w:val="C19"/>
          <w:rtl w:val="0"/>
        </w:rPr>
      </w:pPr>
      <w:r>
        <w:rPr>
          <w:rStyle w:val="C19"/>
          <w:rtl w:val="0"/>
        </w:rPr>
        <w:t>Kritéria hodnocení</w:t>
      </w:r>
    </w:p>
    <w:p>
      <w:pPr>
        <w:pStyle w:val="P26"/>
        <w:framePr w:w="3918" w:h="376" w:hRule="exact" w:wrap="none" w:vAnchor="page" w:hAnchor="margin" w:x="6803" w:y="11469"/>
        <w:rPr>
          <w:rStyle w:val="C3"/>
          <w:rtl w:val="0"/>
        </w:rPr>
      </w:pPr>
    </w:p>
    <w:p>
      <w:pPr>
        <w:pStyle w:val="P27"/>
        <w:framePr w:w="3836" w:h="249" w:hRule="exact" w:wrap="none" w:vAnchor="page" w:hAnchor="margin" w:x="6859" w:y="11540"/>
        <w:rPr>
          <w:rStyle w:val="C20"/>
          <w:rtl w:val="0"/>
        </w:rPr>
      </w:pPr>
      <w:r>
        <w:rPr>
          <w:rStyle w:val="C20"/>
          <w:rtl w:val="0"/>
        </w:rPr>
        <w:t>Způsoby ověření</w:t>
      </w:r>
    </w:p>
    <w:p>
      <w:pPr>
        <w:pStyle w:val="P12"/>
        <w:framePr w:w="6710" w:h="831" w:hRule="exact" w:wrap="none" w:vAnchor="page" w:hAnchor="margin" w:x="45" w:y="11846"/>
        <w:rPr>
          <w:rStyle w:val="C3"/>
          <w:rtl w:val="0"/>
        </w:rPr>
      </w:pPr>
    </w:p>
    <w:p>
      <w:pPr>
        <w:pStyle w:val="P13"/>
        <w:framePr w:w="6658" w:h="704" w:hRule="exact" w:wrap="none" w:vAnchor="page" w:hAnchor="margin" w:x="71" w:y="11902"/>
        <w:rPr>
          <w:rStyle w:val="C11"/>
          <w:rtl w:val="0"/>
        </w:rPr>
      </w:pPr>
      <w:r>
        <w:rPr>
          <w:rStyle w:val="C11"/>
          <w:rtl w:val="0"/>
        </w:rPr>
        <w:t>a) Charakterizovat důležité části zákona o chemických látkách a chemických směsích a o změně některých zákonů (chemický zákon) a zákona o odpadech a o změně některých zákonů ve vazbě na daný chemický provoz</w:t>
      </w:r>
    </w:p>
    <w:p>
      <w:pPr>
        <w:pStyle w:val="P28"/>
        <w:framePr w:w="3921" w:h="831" w:hRule="exact" w:wrap="none" w:vAnchor="page" w:hAnchor="margin" w:x="6800" w:y="11846"/>
        <w:rPr>
          <w:rStyle w:val="C3"/>
          <w:rtl w:val="0"/>
        </w:rPr>
      </w:pPr>
    </w:p>
    <w:p>
      <w:pPr>
        <w:pStyle w:val="P29"/>
        <w:framePr w:w="3839" w:h="704" w:hRule="exact" w:wrap="none" w:vAnchor="page" w:hAnchor="margin" w:x="6856" w:y="11902"/>
        <w:rPr>
          <w:rStyle w:val="C21"/>
          <w:rtl w:val="0"/>
        </w:rPr>
      </w:pPr>
      <w:r>
        <w:rPr>
          <w:rStyle w:val="C21"/>
          <w:rtl w:val="0"/>
        </w:rPr>
        <w:t>Ústní ověření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b) Vysvětlit pojmy REACH, CLP</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Písemné a ústní ověření</w:t>
      </w:r>
    </w:p>
    <w:p>
      <w:pPr>
        <w:pStyle w:val="P12"/>
        <w:framePr w:w="6710" w:h="607" w:hRule="exact" w:wrap="none" w:vAnchor="page" w:hAnchor="margin" w:x="45" w:y="13053"/>
        <w:rPr>
          <w:rStyle w:val="C3"/>
          <w:rtl w:val="0"/>
        </w:rPr>
      </w:pPr>
    </w:p>
    <w:p>
      <w:pPr>
        <w:pStyle w:val="P13"/>
        <w:framePr w:w="6658" w:h="480" w:hRule="exact" w:wrap="none" w:vAnchor="page" w:hAnchor="margin" w:x="71" w:y="1310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053"/>
        <w:rPr>
          <w:rStyle w:val="C3"/>
          <w:rtl w:val="0"/>
        </w:rPr>
      </w:pPr>
    </w:p>
    <w:p>
      <w:pPr>
        <w:pStyle w:val="P29"/>
        <w:framePr w:w="3839" w:h="480" w:hRule="exact" w:wrap="none" w:vAnchor="page" w:hAnchor="margin" w:x="6856" w:y="13109"/>
        <w:rPr>
          <w:rStyle w:val="C21"/>
          <w:rtl w:val="0"/>
        </w:rPr>
      </w:pPr>
      <w:r>
        <w:rPr>
          <w:rStyle w:val="C21"/>
          <w:rtl w:val="0"/>
        </w:rPr>
        <w:t>Písemné a ústní ověření</w:t>
      </w:r>
    </w:p>
    <w:p>
      <w:pPr>
        <w:pStyle w:val="P16"/>
        <w:framePr w:w="6710" w:h="607" w:hRule="exact" w:wrap="none" w:vAnchor="page" w:hAnchor="margin" w:x="45" w:y="13660"/>
        <w:rPr>
          <w:rStyle w:val="C3"/>
          <w:rtl w:val="0"/>
        </w:rPr>
      </w:pPr>
    </w:p>
    <w:p>
      <w:pPr>
        <w:pStyle w:val="P17"/>
        <w:framePr w:w="6658" w:h="480" w:hRule="exact" w:wrap="none" w:vAnchor="page" w:hAnchor="margin" w:x="71" w:y="13716"/>
        <w:rPr>
          <w:rStyle w:val="C13"/>
          <w:rtl w:val="0"/>
        </w:rPr>
      </w:pPr>
      <w:r>
        <w:rPr>
          <w:rStyle w:val="C13"/>
          <w:rtl w:val="0"/>
        </w:rPr>
        <w:t>d) Popsat hlavní zásady pro poskytování první pomoci při expozici chemickými látkami</w:t>
      </w:r>
    </w:p>
    <w:p>
      <w:pPr>
        <w:pStyle w:val="P30"/>
        <w:framePr w:w="3921" w:h="607" w:hRule="exact" w:wrap="none" w:vAnchor="page" w:hAnchor="margin" w:x="6800" w:y="13660"/>
        <w:rPr>
          <w:rStyle w:val="C3"/>
          <w:rtl w:val="0"/>
        </w:rPr>
      </w:pPr>
    </w:p>
    <w:p>
      <w:pPr>
        <w:pStyle w:val="P31"/>
        <w:framePr w:w="3839" w:h="480" w:hRule="exact" w:wrap="none" w:vAnchor="page" w:hAnchor="margin" w:x="6856" w:y="13716"/>
        <w:rPr>
          <w:rStyle w:val="C22"/>
          <w:rtl w:val="0"/>
        </w:rPr>
      </w:pPr>
      <w:r>
        <w:rPr>
          <w:rStyle w:val="C22"/>
          <w:rtl w:val="0"/>
        </w:rPr>
        <w:t>Ústní ověření</w:t>
      </w:r>
    </w:p>
    <w:p>
      <w:pPr>
        <w:pStyle w:val="P12"/>
        <w:framePr w:w="6710" w:h="607" w:hRule="exact" w:wrap="none" w:vAnchor="page" w:hAnchor="margin" w:x="45" w:y="14267"/>
        <w:rPr>
          <w:rStyle w:val="C3"/>
          <w:rtl w:val="0"/>
        </w:rPr>
      </w:pPr>
    </w:p>
    <w:p>
      <w:pPr>
        <w:pStyle w:val="P13"/>
        <w:framePr w:w="6658" w:h="480" w:hRule="exact" w:wrap="none" w:vAnchor="page" w:hAnchor="margin" w:x="71" w:y="14323"/>
        <w:rPr>
          <w:rStyle w:val="C11"/>
          <w:rtl w:val="0"/>
        </w:rPr>
      </w:pPr>
      <w:r>
        <w:rPr>
          <w:rStyle w:val="C11"/>
          <w:rtl w:val="0"/>
        </w:rPr>
        <w:t>e) Připravit základní vstupní údaje pro vypracování bezpečnostního listu na základě technické dokumentace chemického výrobku</w:t>
      </w:r>
    </w:p>
    <w:p>
      <w:pPr>
        <w:pStyle w:val="P28"/>
        <w:framePr w:w="3921" w:h="607" w:hRule="exact" w:wrap="none" w:vAnchor="page" w:hAnchor="margin" w:x="6800" w:y="14267"/>
        <w:rPr>
          <w:rStyle w:val="C3"/>
          <w:rtl w:val="0"/>
        </w:rPr>
      </w:pPr>
    </w:p>
    <w:p>
      <w:pPr>
        <w:pStyle w:val="P29"/>
        <w:framePr w:w="3839" w:h="480" w:hRule="exact" w:wrap="none" w:vAnchor="page" w:hAnchor="margin" w:x="6856" w:y="14323"/>
        <w:rPr>
          <w:rStyle w:val="C21"/>
          <w:rtl w:val="0"/>
        </w:rPr>
      </w:pPr>
      <w:r>
        <w:rPr>
          <w:rStyle w:val="C21"/>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požadavky kladené systémem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Uvést přehled základních technologií na ochranu životního prostředí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Písemné a ústní ověření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Úvést základní právní požadavky na vybrané technologie na ochranu životního prostředí</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Písemné a ústní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Navrhnout na zadané emisi znečišťující látky technologii na ochranu životního prostředí v souladu s právními požadavky na ochranu životního prostředí</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907"/>
        <w:rPr>
          <w:rStyle w:val="C23"/>
          <w:rtl w:val="0"/>
        </w:rPr>
      </w:pPr>
      <w:r>
        <w:rPr>
          <w:rStyle w:val="C23"/>
          <w:rtl w:val="0"/>
        </w:rPr>
        <w:t>Je třeba splnit všechna kritéria.</w:t>
      </w:r>
    </w:p>
    <w:p>
      <w:pPr>
        <w:pStyle w:val="P23"/>
        <w:framePr w:w="10710" w:h="340" w:hRule="exact" w:wrap="none" w:vAnchor="page" w:hAnchor="margin" w:x="28" w:y="8343"/>
        <w:rPr>
          <w:rStyle w:val="C18"/>
          <w:rtl w:val="0"/>
        </w:rPr>
      </w:pPr>
      <w:r>
        <w:rPr>
          <w:rStyle w:val="C18"/>
          <w:rtl w:val="0"/>
        </w:rPr>
        <w:t>Orientace v právních předpisech v oblasti životního prostředí</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376" w:hRule="exact" w:wrap="none" w:vAnchor="page" w:hAnchor="margin" w:x="45" w:y="9158"/>
        <w:rPr>
          <w:rStyle w:val="C3"/>
          <w:rtl w:val="0"/>
        </w:rPr>
      </w:pPr>
    </w:p>
    <w:p>
      <w:pPr>
        <w:pStyle w:val="P13"/>
        <w:framePr w:w="6658" w:h="249" w:hRule="exact" w:wrap="none" w:vAnchor="page" w:hAnchor="margin" w:x="71" w:y="9214"/>
        <w:rPr>
          <w:rStyle w:val="C11"/>
          <w:rtl w:val="0"/>
        </w:rPr>
      </w:pPr>
      <w:r>
        <w:rPr>
          <w:rStyle w:val="C11"/>
          <w:rtl w:val="0"/>
        </w:rPr>
        <w:t>a) Uvést přehled zákonů týkajících se ochrany životního prostředí</w:t>
      </w:r>
    </w:p>
    <w:p>
      <w:pPr>
        <w:pStyle w:val="P28"/>
        <w:framePr w:w="3921" w:h="376" w:hRule="exact" w:wrap="none" w:vAnchor="page" w:hAnchor="margin" w:x="6800" w:y="9158"/>
        <w:rPr>
          <w:rStyle w:val="C3"/>
          <w:rtl w:val="0"/>
        </w:rPr>
      </w:pPr>
    </w:p>
    <w:p>
      <w:pPr>
        <w:pStyle w:val="P29"/>
        <w:framePr w:w="3839" w:h="249" w:hRule="exact" w:wrap="none" w:vAnchor="page" w:hAnchor="margin" w:x="6856" w:y="9214"/>
        <w:rPr>
          <w:rStyle w:val="C21"/>
          <w:rtl w:val="0"/>
        </w:rPr>
      </w:pPr>
      <w:r>
        <w:rPr>
          <w:rStyle w:val="C21"/>
          <w:rtl w:val="0"/>
        </w:rPr>
        <w:t>Ústní ověření</w:t>
      </w:r>
    </w:p>
    <w:p>
      <w:pPr>
        <w:pStyle w:val="P16"/>
        <w:framePr w:w="6710" w:h="607" w:hRule="exact" w:wrap="none" w:vAnchor="page" w:hAnchor="margin" w:x="45" w:y="9534"/>
        <w:rPr>
          <w:rStyle w:val="C3"/>
          <w:rtl w:val="0"/>
        </w:rPr>
      </w:pPr>
    </w:p>
    <w:p>
      <w:pPr>
        <w:pStyle w:val="P17"/>
        <w:framePr w:w="6658" w:h="480" w:hRule="exact" w:wrap="none" w:vAnchor="page" w:hAnchor="margin" w:x="71" w:y="9590"/>
        <w:rPr>
          <w:rStyle w:val="C13"/>
          <w:rtl w:val="0"/>
        </w:rPr>
      </w:pPr>
      <w:r>
        <w:rPr>
          <w:rStyle w:val="C13"/>
          <w:rtl w:val="0"/>
        </w:rPr>
        <w:t>b) Předvést využití informačních zdrojů v oblasti legislativy ochrany životního prostředí</w:t>
      </w:r>
    </w:p>
    <w:p>
      <w:pPr>
        <w:pStyle w:val="P30"/>
        <w:framePr w:w="3921" w:h="607" w:hRule="exact" w:wrap="none" w:vAnchor="page" w:hAnchor="margin" w:x="6800" w:y="9534"/>
        <w:rPr>
          <w:rStyle w:val="C3"/>
          <w:rtl w:val="0"/>
        </w:rPr>
      </w:pPr>
    </w:p>
    <w:p>
      <w:pPr>
        <w:pStyle w:val="P31"/>
        <w:framePr w:w="3839" w:h="480" w:hRule="exact" w:wrap="none" w:vAnchor="page" w:hAnchor="margin" w:x="6856" w:y="9590"/>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0"/>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607" w:hRule="exact" w:wrap="none" w:vAnchor="page" w:hAnchor="margin" w:x="45" w:y="11506"/>
        <w:rPr>
          <w:rStyle w:val="C3"/>
          <w:rtl w:val="0"/>
        </w:rPr>
      </w:pPr>
    </w:p>
    <w:p>
      <w:pPr>
        <w:pStyle w:val="P13"/>
        <w:framePr w:w="6658" w:h="480" w:hRule="exact" w:wrap="none" w:vAnchor="page" w:hAnchor="margin" w:x="71" w:y="11562"/>
        <w:rPr>
          <w:rStyle w:val="C11"/>
          <w:rtl w:val="0"/>
        </w:rPr>
      </w:pPr>
      <w:r>
        <w:rPr>
          <w:rStyle w:val="C11"/>
          <w:rtl w:val="0"/>
        </w:rPr>
        <w:t>a) Vysvětlit metody terénních měření fyzikálně-chemických veličin složek životního prostředí</w:t>
      </w:r>
    </w:p>
    <w:p>
      <w:pPr>
        <w:pStyle w:val="P28"/>
        <w:framePr w:w="3921" w:h="607" w:hRule="exact" w:wrap="none" w:vAnchor="page" w:hAnchor="margin" w:x="6800" w:y="11506"/>
        <w:rPr>
          <w:rStyle w:val="C3"/>
          <w:rtl w:val="0"/>
        </w:rPr>
      </w:pPr>
    </w:p>
    <w:p>
      <w:pPr>
        <w:pStyle w:val="P29"/>
        <w:framePr w:w="3839" w:h="480" w:hRule="exact" w:wrap="none" w:vAnchor="page" w:hAnchor="margin" w:x="6856" w:y="11562"/>
        <w:rPr>
          <w:rStyle w:val="C21"/>
          <w:rtl w:val="0"/>
        </w:rPr>
      </w:pPr>
      <w:r>
        <w:rPr>
          <w:rStyle w:val="C21"/>
          <w:rtl w:val="0"/>
        </w:rPr>
        <w:t>Písemné a 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Provést terénní měření vybraných ukazatelů znečištění v odpadní vodě</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požadavky dané systémem managementu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vyhodnotit rizika v oblasti ochrany zdraví a bezpečnosti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Identifikovat environmentální aspekty a dopady znečišťujících látek na životní prostředí ze zadané výroby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Orientace v dokumentaci potřebné pro investiční výstavbu v oblasti životního prostředí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Vysvětlit princip integrované prevence a omezování znečištění (IPPC - Integrated Pollution Prevention and Control)</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Popsat požadavky integrovaného systému plnění ohlašovacích povinností (ISPOP)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Vysvětlit předpoklady pro vznik ohlašovacích povinností dle Integrovaného registru znečišťování (IRZ)</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16"/>
        <w:framePr w:w="6710" w:h="831" w:hRule="exact" w:wrap="none" w:vAnchor="page" w:hAnchor="margin" w:x="45" w:y="8183"/>
        <w:rPr>
          <w:rStyle w:val="C3"/>
          <w:rtl w:val="0"/>
        </w:rPr>
      </w:pPr>
    </w:p>
    <w:p>
      <w:pPr>
        <w:pStyle w:val="P17"/>
        <w:framePr w:w="6658" w:h="704" w:hRule="exact" w:wrap="none" w:vAnchor="page" w:hAnchor="margin" w:x="71" w:y="8239"/>
        <w:rPr>
          <w:rStyle w:val="C13"/>
          <w:rtl w:val="0"/>
        </w:rPr>
      </w:pPr>
      <w:r>
        <w:rPr>
          <w:rStyle w:val="C13"/>
          <w:rtl w:val="0"/>
        </w:rPr>
        <w:t>d) Popsat proces posuzování vlivů na životní prostředí (EIA-Environment Impact Assesment) a hodnocení územních plánů a koncepcí (SEA - Strategic Environmental Assessment)</w:t>
      </w:r>
    </w:p>
    <w:p>
      <w:pPr>
        <w:pStyle w:val="P30"/>
        <w:framePr w:w="3921" w:h="831" w:hRule="exact" w:wrap="none" w:vAnchor="page" w:hAnchor="margin" w:x="6800" w:y="8183"/>
        <w:rPr>
          <w:rStyle w:val="C3"/>
          <w:rtl w:val="0"/>
        </w:rPr>
      </w:pPr>
    </w:p>
    <w:p>
      <w:pPr>
        <w:pStyle w:val="P31"/>
        <w:framePr w:w="3839" w:h="704" w:hRule="exact" w:wrap="none" w:vAnchor="page" w:hAnchor="margin" w:x="6856" w:y="8239"/>
        <w:rPr>
          <w:rStyle w:val="C22"/>
          <w:rtl w:val="0"/>
        </w:rPr>
      </w:pPr>
      <w:r>
        <w:rPr>
          <w:rStyle w:val="C22"/>
          <w:rtl w:val="0"/>
        </w:rPr>
        <w:t>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širší oblast požadovaných znalostí a dovedností. Zejména se jedná o prokázání schopnosti práce s chemickou legislativou a dalšími normami, práci s technickou dokumentací, přípravu, zpracování a evidenci příslušné dokumentace, realizaci a validaci jednotlivých metod a postupů.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Odběry vzorků složek životního prostředí, kritérium hodnocení b), autorizovaná osoba zadá vzorek, na základě kterého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Analýza a hodnocení stavu a úrovně technologických procesů z hlediska dopadů užívaných/vznikajících chemických látek, přípravků a odpadů na životní prostředí, kritérium hodnocení b); Kontrola a zabezpečování dodržování pracovní a technologické kázně, předpisů pro BOZP, požární ochranu a pro péči o životní prostředí v chemickém provozu, kritérium hodnocení c), autorizovaná osoba zadá výrobu, na základě které uchazeč splní daná kritéria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technikách ochrany životního prostředí při nakládání s chemickými látkami, kritérium hodnocení b), autorizovaná osoba vybere technologie, na základě kterých uchazeč splní dané kritérium hodnocení. Dále u odborné kompetence Orientace v technikách ochrany životního prostředí při nakládání s chemickými látkami, kritérium hodnocení c), autorizovaná osoba zadá emisi, na základě které uchazeč splní dané kritérium hodnocení.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a laboratořích, kritérium hodnocení b), autorizovaná osoba vybere ukazatele, na základě kterých uchazeč splní dané kritérium hodnocení.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(např. ve funkci technologa, vedoucího provozu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(např. ve funkci technologa, vedoucího provozu či vedoucího úseku zahrnující pracoviště s činnostmi příslušné profesní kvalifikace) nebo ve funkci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(např. ve funkci technologa, vedoucího provozu či vedoucího úseku zahrnující pracoviště s činnostmi příslušné profesní kvalifikace) nebo ve funkci učitele odborných předmětů nebo učitele praktického vyučování nebo učitele odborného výcviku v oblasti chemie nebo životního prostředí.</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28-048-M Chemický technik pro environment + středoškolské vzdělání a alespoň 5 let odborné praxe v oblasti životního prostředí.</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místnost/učebna s PC a příslušným softwarovým vybavením a připojením k internetu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 a databází chemických technologií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chemického výrobku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přístrojové vybavení pro terénní měření vybraných ukazatelů znečištění v odpadních vodách /např. teplota, pH, ORP, DO TDS)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odběrové aparatury pro odběr vzorků z jednotlivých složek životrního prostředí (např. půdy, vod, odpadů) vč. manuálů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vztahující se ke kritériím hodnocení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103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 environment, 2.10.2026 3:51:14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7C8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1C0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79A7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