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2A41A" Type="http://schemas.openxmlformats.org/officeDocument/2006/relationships/officeDocument" Target="/word/document.xml" /><Relationship Id="coreR7C72A41A" Type="http://schemas.openxmlformats.org/package/2006/relationships/metadata/core-properties" Target="/docProps/core.xml" /><Relationship Id="customR7C72A4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životního a pracovního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ekologie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právních předpisech pro integrovanou prevenci (IPPC), posuzování vlivů (EIA – Environment Impact Assesment, SEA), přenos znečištění (IRZ – Integrovaný registr znečišťování)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2.10.2026 3:51:10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schopnosti práce s chemickou legislativou a dalšími normami,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technickou dokumentací,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•přípravu, zpracování a evidenci příslušné dokumentace,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•realizaci a validaci jednotlivých metod a postupů.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2.10.2026 3:51:10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2.10.2026 3:51:10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3C89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