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254DC" Type="http://schemas.openxmlformats.org/officeDocument/2006/relationships/officeDocument" Target="/word/document.xml" /><Relationship Id="coreR12E254DC" Type="http://schemas.openxmlformats.org/package/2006/relationships/metadata/core-properties" Target="/docProps/core.xml" /><Relationship Id="customR12E254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14.01.2020 do: 20.10.2022</w:t>
      </w:r>
    </w:p>
    <w:p>
      <w:pPr>
        <w:pStyle w:val="P21"/>
        <w:framePr w:w="7654" w:h="331" w:hRule="exact" w:wrap="none" w:vAnchor="page" w:hAnchor="margin" w:x="28" w:y="15940"/>
        <w:rPr>
          <w:rStyle w:val="C15"/>
          <w:rtl w:val="0"/>
        </w:rPr>
      </w:pPr>
      <w:r>
        <w:rPr>
          <w:rStyle w:val="C15"/>
          <w:rtl w:val="0"/>
        </w:rPr>
        <w:t>Pracovník odbytu velkoobchodu, 30.9.2026 8:37:49</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 odbytu velkoobchodu, 30.9.2026 8:37:49</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 odbytu velkoobchodu, 30.9.2026 8:37:49</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