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120A07" Type="http://schemas.openxmlformats.org/officeDocument/2006/relationships/officeDocument" Target="/word/document.xml" /><Relationship Id="coreR34120A07" Type="http://schemas.openxmlformats.org/package/2006/relationships/metadata/core-properties" Target="/docProps/core.xml" /><Relationship Id="customR34120A0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 marketingu (kód: 66-021-N)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marketingu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základních principech marketingu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Orientace v marketingovém mixu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5</w:t>
      </w:r>
    </w:p>
    <w:p>
      <w:pPr>
        <w:pStyle w:val="P19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Využití znalostí o marketingovém prostředí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15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804"/>
        <w:rPr>
          <w:rStyle w:val="C12"/>
          <w:rtl w:val="0"/>
        </w:rPr>
      </w:pPr>
      <w:r>
        <w:rPr>
          <w:rStyle w:val="C12"/>
          <w:rtl w:val="0"/>
        </w:rPr>
        <w:t>Provádění marketingových analýz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5</w:t>
      </w:r>
    </w:p>
    <w:p>
      <w:pPr>
        <w:pStyle w:val="P19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180"/>
        <w:rPr>
          <w:rStyle w:val="C14"/>
          <w:rtl w:val="0"/>
        </w:rPr>
      </w:pPr>
      <w:r>
        <w:rPr>
          <w:rStyle w:val="C14"/>
          <w:rtl w:val="0"/>
        </w:rPr>
        <w:t>Orientace v marketingových strategiích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15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7557"/>
        <w:rPr>
          <w:rStyle w:val="C12"/>
          <w:rtl w:val="0"/>
        </w:rPr>
      </w:pPr>
      <w:r>
        <w:rPr>
          <w:rStyle w:val="C12"/>
          <w:rtl w:val="0"/>
        </w:rPr>
        <w:t>Příprava podkladů pro marketingový výzkum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5</w:t>
      </w:r>
    </w:p>
    <w:p>
      <w:pPr>
        <w:pStyle w:val="P19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933"/>
        <w:rPr>
          <w:rStyle w:val="C14"/>
          <w:rtl w:val="0"/>
        </w:rPr>
      </w:pPr>
      <w:r>
        <w:rPr>
          <w:rStyle w:val="C14"/>
          <w:rtl w:val="0"/>
        </w:rPr>
        <w:t>Zpracování a prezentace marketingového dotazníku</w:t>
      </w:r>
    </w:p>
    <w:p>
      <w:pPr>
        <w:pStyle w:val="P13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933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28.01.2014 do: 11.04.2022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marketingu, 11.9.2026 21:36:47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404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Zároveň s oznámením termínu o konání zkoušky zadá autorizovaná osoba/autorizovaný zástupce uchazeči samostatnou práci - zpracování marketingového dotazníku. 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Obsah samostatné práce vychází z kompetencí a kritérií hodnoticího standardu - zejména odborné způsobilosti Zpracování a prezentace marketingového dotazníku - kritéria hodnocení a) – d). Samostatnou práci (zpracovaný a vyhodnocený dotazník) uchazeč předloží u zkoušky. Na zpracování samostatné práce musí mít uchazeč alespoň 2 týdny. 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Specifikaci zpracování dotazníku sdělí autorizovaná osoba/autorizovaný zástupce uchazeči nejpozději 4 týdny před termínem konání zkoušky. 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Dotazník musí obsahovat minimálně 10 otevřených a uzavřených otázek, vyhodnocení dotazníku musí být formou grafů a komentáře s využitím textového a tabulkového editoru. 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Dále autorizovaná osoba/autorizovaný zástupce uchazeči stanoví harmonogram, specifikaci a místo konání zkoušky. Doba prezentace zpracovaného dotazníku je v délce 15 minut. 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Součástí zkoušky je písemný test v délce 60 minut. 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Specifikaci doporučené literatury ke zkoušce sdělí autorizovaná osoba/autorizovaný zástupce uchazeči nejpozději 3 týdny před termínem konání zkoušky. Z této literatury pak autorizovaná osoba/autorizovaný zástupce vychází při tvorbě písemného testu.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písemného ověřování formou testu: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osoba/autorizovaný zástupce podle požadavků hodnoticího standardu. Otázky vychází z kompetencí a kritérií hodnoticího standardu - zejména odborných způsobilostí: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základech marketingu - kritéria hodnocení a) – c)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marketingovém mixu - kritérium hodnocení a)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marketingových strategiích - kritéria hodnocení a) – c)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podkladů pro marketingový výzkum - kritéria hodnocení a) – d)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testů jako způsobu ověřování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A. Testy pro jednotlivé uchazeče musí být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generovány z dostatečně velkého souboru otázek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aby bylo umožněno řádově několik desítek různě sestavených testů.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B. Při každé zkoušce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musí být ověřeny všechny kompetence kvalifikačního standardu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 To znamená, že v případě, kdy se některé kompetence nebo kritéria ověřují pomocí testů, musí být splněné následující podmínky: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B1. Pro celkový soubor otázek, z něhož se generují jednotlivé testy: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 kritérium existuje několik otázek.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 xml:space="preserve">B2. Pro jednotlivé vygenerované testy: 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(u něhož je test způsobem ověření a v návaznosti na pokyn o tom, která kritéria je třeba u zkoušky splnit)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 jednu otázku.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B3. Pro úspěšné splnění požadavků testu: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127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75 % správně zodpovězených otázek s tím, že pro každé kritérium musí být správně zodpovězeno alespoň 50 % otázek.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marketingu, 11.9.2026 21:36:47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Doma Morava holding, a. s. / předseda DR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HANYCH – REAL,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podnikání a obchodu, spol. s r. o., Prostějov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marketingu, 11.9.2026 21:36:47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