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8E2B7" Type="http://schemas.openxmlformats.org/officeDocument/2006/relationships/officeDocument" Target="/word/document.xml" /><Relationship Id="coreR56B8E2B7" Type="http://schemas.openxmlformats.org/package/2006/relationships/metadata/core-properties" Target="/docProps/core.xml" /><Relationship Id="customR56B8E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projektu v živočišné výrobě a jeho prezentace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středoškolské zemědělské vzdělání a 7 let praxe v oblasti živočišné výroby nebo vysokoškolské bakalářské nebo vyšší odborné zemědělské vzdělání a 5 let praxe v oblasti živočišné výroby nebo vysokoškolské magisterské zemědělské vzdělání a 3 roky praxe v oblasti živočišné výroby.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 učebně, ale také přímo v zemědělském podniku zaměřeném na živočišnou výrobu.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projektu zadaného autorizovanou osobou v rozsahu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20 minut a jeho obhajoba.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