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7391499" Type="http://schemas.openxmlformats.org/officeDocument/2006/relationships/officeDocument" Target="/word/document.xml" /><Relationship Id="coreR47391499" Type="http://schemas.openxmlformats.org/package/2006/relationships/metadata/core-properties" Target="/docProps/core.xml" /><Relationship Id="customR47391499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Umělecký kašér (kód: 82-015-H)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Umění a užité umění (kód: 82)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Umělecký kašér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607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Samostatné zpracování výtvarného záměru, studium podkladů a technické dokumentace pro zhotovení dekorací a rekvizit</w:t>
      </w:r>
    </w:p>
    <w:p>
      <w:pPr>
        <w:pStyle w:val="P14"/>
        <w:framePr w:w="805" w:h="607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22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282"/>
        <w:rPr>
          <w:rStyle w:val="C13"/>
          <w:rtl w:val="0"/>
        </w:rPr>
      </w:pPr>
      <w:r>
        <w:rPr>
          <w:rStyle w:val="C13"/>
          <w:rtl w:val="0"/>
        </w:rPr>
        <w:t>Příprava surovin pro kašérské práce</w:t>
      </w:r>
    </w:p>
    <w:p>
      <w:pPr>
        <w:pStyle w:val="P18"/>
        <w:framePr w:w="805" w:h="376" w:hRule="exact" w:wrap="none" w:vAnchor="page" w:hAnchor="margin" w:x="9916" w:y="622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28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Volba postupu práce, způsobu zpracování, nástrojů, pomůcek a materiálů pro zhotovení dekorací a rekvizit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Zhotovení předmětu v daném měřítku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Zhotovení forem pro kašérské práce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Sestavení a zhotovení různých druhů písma podle výtvarného návrhu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Ruční modelování štukových slohových ornamentů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48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Povrchové úpravy dekorací, architektonických prvků a rekvizit</w:t>
      </w:r>
    </w:p>
    <w:p>
      <w:pPr>
        <w:pStyle w:val="P18"/>
        <w:framePr w:w="805" w:h="376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86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916"/>
        <w:rPr>
          <w:rStyle w:val="C11"/>
          <w:rtl w:val="0"/>
        </w:rPr>
      </w:pPr>
      <w:r>
        <w:rPr>
          <w:rStyle w:val="C11"/>
          <w:rtl w:val="0"/>
        </w:rPr>
        <w:t>Výroba profilů a rozet a ornamentálních slohových podhledů pomocí termoplastů</w:t>
      </w:r>
    </w:p>
    <w:p>
      <w:pPr>
        <w:pStyle w:val="P14"/>
        <w:framePr w:w="805" w:h="376" w:hRule="exact" w:wrap="none" w:vAnchor="page" w:hAnchor="margin" w:x="9916" w:y="886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91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946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803"/>
        <w:rPr>
          <w:rStyle w:val="C15"/>
          <w:rtl w:val="0"/>
        </w:rPr>
      </w:pPr>
      <w:r>
        <w:rPr>
          <w:rStyle w:val="C15"/>
          <w:rtl w:val="0"/>
        </w:rPr>
        <w:t>Standard je platný od: 28.01.2014 do: 20.10.2019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Umělecký kašér, 31.7.2026 14:34:51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3819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31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31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je vyžadována.</w:t>
      </w:r>
    </w:p>
    <w:p>
      <w:pPr>
        <w:keepNext w:val="0"/>
        <w:keepLines w:val="0"/>
        <w:framePr w:w="10766" w:h="31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(odkaz na povolání v NSP - http://katalog.nsp.cz/karta_p.aspx?id_jp=102421&amp;kod_sm1=42).</w:t>
      </w:r>
    </w:p>
    <w:p>
      <w:pPr>
        <w:keepNext w:val="0"/>
        <w:keepLines w:val="0"/>
        <w:framePr w:w="10766" w:h="31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1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Ověřování by mělo představovat komplex navazujících činností vedoucích k dohotovení finálního produktu s využitím příslušných technologických postupů a technik. Při ověřování kompetencí, zejména formou praktického předvedení, je třeba přihlížet především k bezpečnému provádění všech pracovních úkonů, dodržování povinností pro bezpečnou a zdraví neohrožující práci, dodržování technologické kázně. </w:t>
      </w:r>
    </w:p>
    <w:p>
      <w:pPr>
        <w:keepNext w:val="0"/>
        <w:keepLines w:val="0"/>
        <w:framePr w:w="10766" w:h="31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1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hodnocení je třeba posuzovat kvalitu, přesnost provedení a estetické ztvárnění provedené práce.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Umělecký kašér, 31.7.2026 14:34:51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řemesla a umělecká řemesla, sekce uměleckořemeslná,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Gabriela Jirásková ‒ Ateliéry a dílny Národního divadla v Praze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Zbyněk Heran ‒ Ateliéry a dílny Národního divadla v Praze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Rudolfinea, o. s.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Umělecký kašér, 31.7.2026 14:34:51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