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4F7499" Type="http://schemas.openxmlformats.org/officeDocument/2006/relationships/officeDocument" Target="/word/document.xml" /><Relationship Id="coreR94F7499" Type="http://schemas.openxmlformats.org/package/2006/relationships/metadata/core-properties" Target="/docProps/core.xml" /><Relationship Id="customR94F74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 vína (kód: 41-057-H)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vzhledu, vůně a chuti roztoku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Senzorické posuzování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znalostí ze základů chemie a mikrobiologie vína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Prokázání znalostí z vinařské technologie a legislativy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Pěstování révy vinné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28.01.2014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vína, 7.11.2026 17:46:06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generovány z dostatečně velkého souboru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možné vytvářet dostatečné počty různě sestavených testů.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To znamená, že v případě, kdy se některé kompetence nebo kritéria ověřují pomocí testů, musí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být splněny následující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B1. Pro celkový soubor otázek, z něhož se generují jednotlivé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85%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vína, 7.11.2026 17:46:06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České republiky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s., Valtice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Vinselekt Michlovský,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vína, 7.11.2026 17:46:06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