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5670C4" Type="http://schemas.openxmlformats.org/officeDocument/2006/relationships/officeDocument" Target="/word/document.xml" /><Relationship Id="coreR225670C4" Type="http://schemas.openxmlformats.org/package/2006/relationships/metadata/core-properties" Target="/docProps/core.xml" /><Relationship Id="customR225670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bioplynové stanice (kód: 23-076-R)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bioplynové stanice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zaměstnanců a práce s lidskými zdroji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technologii a strojním vybavení bioplynových stanic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zásob, hodnocení kvality a zpracování surovin pro výrobu bioplynu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procesu odbytu produktů v bioplynové stanici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kvality výroby a produktů bioplynové stanice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legislativních požadavků v provozu bioplynové stanice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28.01.2014 do: 19.08.2020</w:t>
      </w:r>
    </w:p>
    <w:p>
      <w:pPr>
        <w:pStyle w:val="P21"/>
        <w:framePr w:w="7654" w:h="331" w:hRule="exact" w:wrap="none" w:vAnchor="page" w:hAnchor="margin" w:x="28" w:y="15940"/>
        <w:rPr>
          <w:rStyle w:val="C16"/>
          <w:rtl w:val="0"/>
        </w:rPr>
      </w:pPr>
      <w:r>
        <w:rPr>
          <w:rStyle w:val="C16"/>
          <w:rtl w:val="0"/>
        </w:rPr>
        <w:t>Vedoucí bioplynové stanice, 30.9.2026 5:52:15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04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přípravy uchazeče na zkoušku je příprava případové studie, která zahrnuje kompletní návrh řízení bioplynové stanice, definuje požadavky na projektanta, potřebu jednotlivých surovin, potřebu lidských zdrojů, požadavky na technologii, vhodnost použití jednotlivých typů technologií, návrh na využití produktů či meziproduktů, popř. odpadů. Popis zavádění potřebné evidence a legislativní požadavky na provoz. Dále vhodné systémy hodnocení kvality, práci s lidskými zdroji apod.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Rozsah případové studie bude alespoň 20 normostran, uchazeč ji příslušné autorizované osobě odevzdá nejméně 14 dní před dohodnutým termínem zkoušky. V rámci zkoušky proběhne obhajoba případové studie, což se týká kritérií s ústním ověřením.</w:t>
      </w:r>
    </w:p>
    <w:p>
      <w:pPr>
        <w:pStyle w:val="P21"/>
        <w:framePr w:w="7654" w:h="331" w:hRule="exact" w:wrap="none" w:vAnchor="page" w:hAnchor="margin" w:x="28" w:y="15940"/>
        <w:rPr>
          <w:rStyle w:val="C16"/>
          <w:rtl w:val="0"/>
        </w:rPr>
      </w:pPr>
      <w:r>
        <w:rPr>
          <w:rStyle w:val="C16"/>
          <w:rtl w:val="0"/>
        </w:rPr>
        <w:t>Vedoucí bioplynové stanice, 30.9.2026 5:52:15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zemědělství, ustavená a licencovaná pro tuto činnost HK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Farma Stonava – bioplynová stanice</w:t>
      </w:r>
    </w:p>
    <w:p>
      <w:pPr>
        <w:pStyle w:val="P21"/>
        <w:framePr w:w="7654" w:h="331" w:hRule="exact" w:wrap="none" w:vAnchor="page" w:hAnchor="margin" w:x="28" w:y="15940"/>
        <w:rPr>
          <w:rStyle w:val="C16"/>
          <w:rtl w:val="0"/>
        </w:rPr>
      </w:pPr>
      <w:r>
        <w:rPr>
          <w:rStyle w:val="C16"/>
          <w:rtl w:val="0"/>
        </w:rPr>
        <w:t>Vedoucí bioplynové stanice, 30.9.2026 5:52:15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