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CF347" Type="http://schemas.openxmlformats.org/officeDocument/2006/relationships/officeDocument" Target="/word/document.xml" /><Relationship Id="coreR5BECF347" Type="http://schemas.openxmlformats.org/package/2006/relationships/metadata/core-properties" Target="/docProps/core.xml" /><Relationship Id="customR5BECF3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http://katalog.nsp.cz/karta_tp.aspx?id_jp=101970).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pokrmů.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konat v reálném pracovním prostředí ‒ výdejna jídel, catering apod.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Expedice pokrmů bude provedna nejméně u 50 pokrmů, přičemž budou ověřena všechna předepsaná kritéria.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