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D0C22C" Type="http://schemas.openxmlformats.org/officeDocument/2006/relationships/officeDocument" Target="/word/document.xml" /><Relationship Id="coreR51D0C22C" Type="http://schemas.openxmlformats.org/package/2006/relationships/metadata/core-properties" Target="/docProps/core.xml" /><Relationship Id="customR51D0C22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Směnař/směnařka v poštovním provozu (kód: 37-048-M)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Směnař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Organizace, řízení a kontrola provozu svěřeného pracoviště s ohledem na zajištění optimální produktivity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Řešení a odstraňování nepravidelností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Vydávání a úschova denních razítek a pracovních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technologické kázně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Evidence příjezdu a odjezdu poštovních kurzů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být dále prokazatelně seznámen s legislativními a provozně obchodními povinnostmi a odpovědností v souvislosti s jeho pohybem v prostorách poskytovatele poštovních služeb (poštovní tajemství, obchodní tajemství, odpovědnost za svěřené prostředky a zásilky).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připravenou sadu minimálně 5 modelových situací, jejichž prostřednictvím bude ověřovat: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 u kompetence Řešení a odstraňování nepravidelností,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a), b), c) u kompetence Organizace, řízení a kontrola provozu svěřeného pracoviště s ohledem na zajištění optimální produktivity práce,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u kompetence Zapracování pracovníků do poštovního provozu, 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a), b), c) u kompetence Orientace v provozních předpisech a poštovních podmínkách, včetně znalosti BOZP.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konání.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Směnař/směnařka v poštovním provozu, 20.10.2026 7:42:29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