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9C88C" Type="http://schemas.openxmlformats.org/officeDocument/2006/relationships/officeDocument" Target="/word/document.xml" /><Relationship Id="coreR47C9C88C" Type="http://schemas.openxmlformats.org/package/2006/relationships/metadata/core-properties" Target="/docProps/core.xml" /><Relationship Id="customR47C9C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Směnař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Směnař v poštovním provozu , 20.10.2026 11:59:36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nepravidelnosti</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20.10.2026 11:59:36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20.10.2026 11:59:36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prostřednictvím nichž bude ověřovat kritérium e) u kompetence Řešení a odstraňování nepravidelností, kritéria a), b), c) u kompetence Organizace, řízení a kontrola provozu svěřeného pracoviště s ohledem na zajištění optimální produktivity práce, dále kritérium b) u kompetence Zapracování pracovníků do poštovního provozu, kritéria a), b), c) u kompetence Orientace v provozních předpisech a poštovních podmínkách včetně znalosti BOZP.</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Směnař v poštovním provozu , 20.10.2026 11:59:36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poukázkové (důchodové) službě a poštovní přepravě</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SW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 v poštovním provozu , 20.10.2026 11:59:36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Směnař v poštovním provozu , 20.10.2026 11:59:36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Směnař v poštovním provozu , 20.10.2026 11:59:36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BCF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6C80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