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C8802C" Type="http://schemas.openxmlformats.org/officeDocument/2006/relationships/officeDocument" Target="/word/document.xml" /><Relationship Id="coreR66C8802C" Type="http://schemas.openxmlformats.org/package/2006/relationships/metadata/core-properties" Target="/docProps/core.xml" /><Relationship Id="customR66C880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Směnař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Směnař v poštovním provozu , 30.9.2026 5:51:53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nepravidelnosti</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 v poštovním provozu , 30.9.2026 5:51:54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 v poštovním provozu , 30.9.2026 5:51:54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prostřednictvím nichž bude ověřovat kritérium e) u kompetence Řešení a odstraňování nepravidelností, kritéria a), b), c) u kompetence Organizace, řízení a kontrola provozu svěřeného pracoviště s ohledem na zajištění optimální produktivity práce, dále kritérium b) u kompetence Zapracování pracovníků do poštovního provozu, kritéria a), b), c) u kompetence Orientace v provozních předpisech a poštovních podmínkách včetně znalosti BOZP.</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Směnař v poštovním provozu , 30.9.2026 5:51:54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poukázkové (důchodové) službě a poštovní přepravě</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SW České pošty, s. p.)</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přípravy na zkoušku</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Směnař v poštovním provozu , 30.9.2026 5:51:54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Směnař v poštovním provozu , 30.9.2026 5:51:54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Směnař v poštovním provozu , 30.9.2026 5:51:54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3723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B799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