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F90FF" Type="http://schemas.openxmlformats.org/officeDocument/2006/relationships/officeDocument" Target="/word/document.xml" /><Relationship Id="coreR10AF90FF" Type="http://schemas.openxmlformats.org/package/2006/relationships/metadata/core-properties" Target="/docProps/core.xml" /><Relationship Id="customR10AF90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Směnař v poštovním provozu 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prostřednictvím nichž bude ověřovat kritérium e) u kompetence Řešení a odstraňování nepravidelností, kritéria a), b), c) u kompetence Organizace, řízení a kontrola provozu svěřeného pracoviště s ohledem na zajištění optimální produktivity práce, dále kritérium b) u kompetence Zapracování pracovníků do poštovního provozu, kritéria a), b), c) u kompetence Orientace v provozních předpisech a poštovních podmínkách včetně znalosti BOZP.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20.10.2026 11:59:35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