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13EBB" Type="http://schemas.openxmlformats.org/officeDocument/2006/relationships/officeDocument" Target="/word/document.xml" /><Relationship Id="coreR72413EBB" Type="http://schemas.openxmlformats.org/package/2006/relationships/metadata/core-properties" Target="/docProps/core.xml" /><Relationship Id="customR72413E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Směnař v poštovním provozu 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prostřednictvím nichž bude ověřovat kritérium e) u kompetence Řešení a odstraňování nepravidelností, kritéria a), b), c) u kompetence Organizace, řízení a kontrola provozu svěřeného pracoviště s ohledem na zajištění optimální produktivity práce, dále kritérium b) u kompetence Zapracování pracovníků do poštovního provozu, kritéria a), b), c) u kompetence Orientace v provozních předpisech a poštovních podmínkách včetně znalosti BOZP.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