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95DAE" Type="http://schemas.openxmlformats.org/officeDocument/2006/relationships/officeDocument" Target="/word/document.xml" /><Relationship Id="coreR66895DAE" Type="http://schemas.openxmlformats.org/package/2006/relationships/metadata/core-properties" Target="/docProps/core.xml" /><Relationship Id="customR66895D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Směnař v poštovním provozu  (kód: 37-048-M)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Směnař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Organizace, řízení a kontrola provozu svěřeného pracoviště s ohledem na zajištění optimální produktivity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Řešení a odstraňování nepravidelností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Vydávání a úschova denních razítek a pracovních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technologické kázně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Evidence příjezdu a odjezdu poštovních kurzů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5 modelových situací, prostřednictvím nichž bude ověřovat kritérium e) u kompetence Řešení a odstraňování nepravidelností, kritéria a), b), c) u kompetence Organizace, řízení a kontrola provozu svěřeného pracoviště s ohledem na zajištění optimální produktivity práce, dále kritérium b) u kompetence Zapracování pracovníků do poštovního provozu, kritéria a), b), c) u kompetence Orientace v provozních předpisech a poštovních podmínkách včetně znalosti BOZP.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30.9.2026 4:46:30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