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34F8C4" Type="http://schemas.openxmlformats.org/officeDocument/2006/relationships/officeDocument" Target="/word/document.xml" /><Relationship Id="coreR1B34F8C4" Type="http://schemas.openxmlformats.org/package/2006/relationships/metadata/core-properties" Target="/docProps/core.xml" /><Relationship Id="customR1B34F8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Směnař v poštovním provozu  (kód: 37-048-M)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Směnař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Organizace, řízení a kontrola provozu svěřeného pracoviště s ohledem na zajištění optimální produktivity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Řešení a odstraňování nepravidelností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Vydávání a úschova denních razítek a pracovních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technologické kázně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Evidence příjezdu a odjezdu poštovních kurzů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20.10.2026 11:59:14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5 modelových situací, jejichž prostřednictvím bude ověřovat: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u kompetence Řešení a odstraňování nepravidelností,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b), c) u kompetence Organizace, řízení a kontrola provozu svěřeného pracoviště s ohledem na zajištění optimální produktivity práce,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u kompetence Zapracování pracovníků do poštovního provozu,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 u kompetence Orientace v provozních předpisech a poštovních podmínkách, včetně znalosti BOZP.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20.10.2026 11:59:14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20.10.2026 11:59:14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