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64820" Type="http://schemas.openxmlformats.org/officeDocument/2006/relationships/officeDocument" Target="/word/document.xml" /><Relationship Id="coreR1A564820" Type="http://schemas.openxmlformats.org/package/2006/relationships/metadata/core-properties" Target="/docProps/core.xml" /><Relationship Id="customR1A5648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poštovní přepravy, 11.7.2026 4:47:16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Přiřadit město k příslušnému sběrnému přepravnímu uzlu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547" w:hRule="exact" w:wrap="none" w:vAnchor="page" w:hAnchor="margin" w:x="28" w:y="7929"/>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Orientovat se v poštovních pravidlech III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607" w:hRule="exact" w:wrap="none" w:vAnchor="page" w:hAnchor="margin" w:x="45" w:y="9704"/>
        <w:rPr>
          <w:rStyle w:val="C3"/>
          <w:rtl w:val="0"/>
        </w:rPr>
      </w:pPr>
    </w:p>
    <w:p>
      <w:pPr>
        <w:pStyle w:val="P13"/>
        <w:framePr w:w="6658" w:h="480" w:hRule="exact" w:wrap="none" w:vAnchor="page" w:hAnchor="margin" w:x="71" w:y="9760"/>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704"/>
        <w:rPr>
          <w:rStyle w:val="C3"/>
          <w:rtl w:val="0"/>
        </w:rPr>
      </w:pPr>
    </w:p>
    <w:p>
      <w:pPr>
        <w:pStyle w:val="P29"/>
        <w:framePr w:w="3839" w:h="480" w:hRule="exact" w:wrap="none" w:vAnchor="page" w:hAnchor="margin" w:x="6856" w:y="9760"/>
        <w:rPr>
          <w:rStyle w:val="C21"/>
          <w:rtl w:val="0"/>
        </w:rPr>
      </w:pPr>
      <w:r>
        <w:rPr>
          <w:rStyle w:val="C21"/>
          <w:rtl w:val="0"/>
        </w:rPr>
        <w:t>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Popsat zásady organizace poštovních kurzů sběrného přepravního uzlu</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11.7.2026 4:47:16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a jeho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11.7.2026 4:47:16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"https://nsp.cz/jednotka-prace/pracovnik-postovni-prepra"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https://nsp.cz/jednotka-prace/pracovnik-postovni-prepra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kritéria zařazení města k příslušnému sběrnému přepravnímu uzlu je uchazeči předloženo 10 náhodně vybraných okresních měst bez uvedení údaje PSČ.</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pomoci losovaných otázek, musí být splněny následující dvě podmínky: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11.7.2026 4:47:16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pozici vedoucího poštovní provozovny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11.7.2026 4:47:16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plastové plomby, motouz, pytlovák</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poštovním SW</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11.7.2026 4:47:16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přepravy, 11.7.2026 4:47:16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22A6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88A5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