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BB2DD3" Type="http://schemas.openxmlformats.org/officeDocument/2006/relationships/officeDocument" Target="/word/document.xml" /><Relationship Id="coreR56BB2DD3" Type="http://schemas.openxmlformats.org/package/2006/relationships/metadata/core-properties" Target="/docProps/core.xml" /><Relationship Id="customR56BB2D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chodu pokladny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Výdej přídělů a přejímka odvodů peněžních hotovostí a cenin pro jednotlivá pracoviště pošty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Pokladní činnost na poště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"https://nsp.cz/jednotka-prace/pokladnik-posty"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https://nsp.cz/jednotka-prace/pokladnik-posty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minimálně 30 poštovních známek různých nominálních hodnot, 10 kolkových známek, 2 dálničních kupónů, vzory (fotokopie) bankovek a mincí opotřebovaných oběhem, běžně poškozených a nestandardně poškozených.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10 modelových situací, jejichž prostřednictvím bude ověřovat: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 u kompetence Prodej doplňkového zboží a cenin,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 kompetence Pokladní činnost na poště,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 kompetence Plánování objemu finančních hotovostí a cenin na poště,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c), d) u kompetence Realizace pokladní činnosti, práce v pokladně pošty, 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Výdej přídělů a přejímka odvodů peněžních hotovostí a cenin pro jednotlivá pracoviště pošty.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studií bude jedna vybrána a zadána v místě konání.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87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Pokladník/pokladnice pošty, 18.10.2026 16:30:29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