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A4F2B" Type="http://schemas.openxmlformats.org/officeDocument/2006/relationships/officeDocument" Target="/word/document.xml" /><Relationship Id="coreR651A4F2B" Type="http://schemas.openxmlformats.org/package/2006/relationships/metadata/core-properties" Target="/docProps/core.xml" /><Relationship Id="customR651A4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 a ústní ověření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účetní uzávěrku dne a vyhotovit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České pošty, s. p.</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Autorizovaná osoba musí mít připravenou sadu minimálně 10 modelových situací, prostřednictvím nichž bude ověřovat kritéria a), b) u kompetence Prodej doplňkového zboží a cenin, kritérium b), c) u kompetence Pokladní činnost, kritérium c) u kompetence Plánování objemu finančních hotovostí a cenin na poště, kritéria c), d) u kompetence Realizace pokladní činnosti, práce v pokladně pošty, kritéria a), b), c), d) u kompetence Výdej přídělů a přejímka odvodů peněžních hotovostí a cenin pro jednotlivá pracoviště pošty.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pokladní službě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Pokladník pošty , 28.9.2026 14:45:57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F2A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AE9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