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38A3A" Type="http://schemas.openxmlformats.org/officeDocument/2006/relationships/officeDocument" Target="/word/document.xml" /><Relationship Id="coreR19E38A3A" Type="http://schemas.openxmlformats.org/package/2006/relationships/metadata/core-properties" Target="/docProps/core.xml" /><Relationship Id="customR19E38A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Pokladník pošty 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Autorizovaná osoba musí mít připravenou sadu minimálně 10 modelových situací, prostřednictvím nichž bude ověřovat kritéria a), b) u kompetence Prodej doplňkového zboží a cenin, kritérium b), c) u kompetence Pokladní činnost, kritérium c) u kompetence Plánování objemu finančních hotovostí a cenin na poště, kritéria c), d) u kompetence Realizace pokladní činnosti, práce v pokladně pošty, 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