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9F5D0" Type="http://schemas.openxmlformats.org/officeDocument/2006/relationships/officeDocument" Target="/word/document.xml" /><Relationship Id="coreR64E9F5D0" Type="http://schemas.openxmlformats.org/package/2006/relationships/metadata/core-properties" Target="/docProps/core.xml" /><Relationship Id="customR64E9F5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Pokladník pošty 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Autorizovaná osoba musí mít připravenou sadu minimálně 10 modelových situací, prostřednictvím nichž bude ověřovat kritéria a), b) u kompetence Prodej doplňkového zboží a cenin, kritérium b), c) u kompetence Pokladní činnost, kritérium c) u kompetence Plánování objemu finančních hotovostí a cenin na poště, kritéria c), d) u kompetence Realizace pokladní činnosti, práce v pokladně pošty, 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 pošty 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