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069A57" Type="http://schemas.openxmlformats.org/officeDocument/2006/relationships/officeDocument" Target="/word/document.xml" /><Relationship Id="coreR40069A57" Type="http://schemas.openxmlformats.org/package/2006/relationships/metadata/core-properties" Target="/docProps/core.xml" /><Relationship Id="customR40069A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Pokladník/pokladnice pošty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chodu pokladny pošty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Výdej přídělů a přejímka odvodů peněžních hotovostí a cenin pro jednotlivá pracoviště pošty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Pokladní činnost na poště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18.10.2026 20:36:29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"https://nsp.cz/jednotka-prace/pokladnik-posty"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https://nsp.cz/jednotka-prace/pokladnik-posty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30 poštovních známek různých nominálních hodnot, 10 kolkových známek, 2 dálničních kupónů, vzory (fotokopie) bankovek a mincí opotřebovaných oběhem, běžně poškozených a nestandardně poškozených.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10 modelových situací, jejichž prostřednictvím bude ověřovat: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 u kompetence Prodej doplňkového zboží a cenin,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 kompetence Pokladní činnost na poště,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 kompetence Plánování objemu finančních hotovostí a cenin na poště,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c), d) u kompetence Realizace pokladní činnosti, práce v pokladně pošty,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Výdej přídělů a přejímka odvodů peněžních hotovostí a cenin pro jednotlivá pracoviště pošty.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studií bude jedna vybrána a zadána v místě konání.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18.10.2026 20:36:29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18.10.2026 20:36:29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