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5B40DC" Type="http://schemas.openxmlformats.org/officeDocument/2006/relationships/officeDocument" Target="/word/document.xml" /><Relationship Id="coreR735B40DC" Type="http://schemas.openxmlformats.org/package/2006/relationships/metadata/core-properties" Target="/docProps/core.xml" /><Relationship Id="customR735B40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ovocných destilátů (kód: 29-073-H)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Lihovarník a likérník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pro výrobu ovocných destilátů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surovin na fermentaci pro výrobu ovocných destilátů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průběhu fermentace surovin pro výrobu ovocných destilátů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destilačního zařízení pro výrobu ovocných destilátů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evidence při výrobě ovocných destilátů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ovocného destilátu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hygienicko-sanitačnich činností při výrobě ovocných destilátů,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při výrobě ovocných destilátů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destilátů, 20.10.2026 12:11:00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https://www.nsp.cz/jednotka-prace/lihovarnik#zdravotni-zpusobilost).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ovocných destilátů.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 a PO a hygienicko-sanitačních principů, které zajistí kvalitu potravinářského výrobku.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"Provádění hygienicko-sanitačnich činností při výrobě ovocných destilátů, dodržování sanitačních postupů" a kompetence "Dodržování bezpečnostních předpisů při výrobě ovocných destilátů" se tedy ověřují v průběhu celé zkoušky.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 a pololovarů,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destilátů, 20.10.2026 12:11:00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 Praha.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destilátů, 20.10.2026 12:11:00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