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53FC3" Type="http://schemas.openxmlformats.org/officeDocument/2006/relationships/officeDocument" Target="/word/document.xml" /><Relationship Id="coreR34E53FC3" Type="http://schemas.openxmlformats.org/package/2006/relationships/metadata/core-properties" Target="/docProps/core.xml" /><Relationship Id="customR34E53F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elektronické publikování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obrazových podkladů pro elektronické publikování a grafické zpracování multimediální prezentace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podkladů pro elektronické publikování pomocí aplikačních programů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elektronického publikování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Správa dat a archivace multimediální prezentace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Elektronické publikování multimediální prezentace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a to s ohledem na 2. stupeň zátěže,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doložit, že absolvoval střední vzdělání s výučním listem v oboru vzdělání Reprodukční grafik, nebo že získal PK Operátor DTP, nebo že absolvoval minimálně střední vzdělání s maturitní zkouškou v oboru vzdělání v oblasti grafické výroby.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elektronického publikování.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obsahujících soubor podkladů pro zpracování zadaného multimediálního projektu. Uchazeč si před zahájením zkoušky vylosuje jedno z předložených zadání. Uchazeč nemá během zkoušky přístup na veřejnou síť (Internet).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 Brno, Šmahova 110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Zaraguza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