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33B9F" Type="http://schemas.openxmlformats.org/officeDocument/2006/relationships/officeDocument" Target="/word/document.xml" /><Relationship Id="coreRFC33B9F" Type="http://schemas.openxmlformats.org/package/2006/relationships/metadata/core-properties" Target="/docProps/core.xml" /><Relationship Id="customRFC33B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tiskových médií a počtu opakování pro umístění reklamních sdělení s ohledem na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plánu nákupu tiskových médií na základě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rozpočtu nákupu tiskových médií včetně vyjednání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tiskových médií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tiskových médií potřebných k rozhodování o umístění reklamních sdělení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20.8.2026 14:34:23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tiskových médií a počtu opakování pro umístění reklamních sdělení s ohledem na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tiskových médií na základě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rozpočtu nákupu tiskových médií včetně vyjednání cen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tiskových médií potřebných k rozhodování o umístění reklamních sdělení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se ověřují při modelovém nákupu tiskových médií.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tiskových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20.8.2026 14:34:23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20.8.2026 14:34:23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