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47AD4C" Type="http://schemas.openxmlformats.org/officeDocument/2006/relationships/officeDocument" Target="/word/document.xml" /><Relationship Id="coreR5F47AD4C" Type="http://schemas.openxmlformats.org/package/2006/relationships/metadata/core-properties" Target="/docProps/core.xml" /><Relationship Id="customR5F47AD4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Nákupčí tiskových médií (kód: 66-031-M)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Nákupčí tiskových médií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Výběr vhodných tiskových médií a počtu opakování pro umístění reklamních sdělení s ohledem na zadání klienta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plánu nákupu tiskových médií na základě zadání klienta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rozpočtu nákupu tiskových médií včetně vyjednání cen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odborném mediálním názvosloví z oblasti tiskových médií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Získávání aktuálních dat a informací z tiskových médií potřebných k rozhodování o umístění reklamních sdělení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Nákupčí tiskových médií, 20.10.2026 11:42:57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minimálně 3 modelová zadání kampaně pro ověření kompetencí: 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Výběr vhodných tiskových médií a počtu opakování pro umístění reklamních sdělení s ohledem na zadání klienta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Zpracování plánu nákupu tiskových médií na základě zadání klienta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Zpracování rozpočtu nákupu tiskových médií včetně vyjednání cen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Získávání aktuálních dat a informací z tiskových médií potřebných k rozhodování o umístění reklamních sdělení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vylosuje jedno z minimálně 3 předložených modelových zadání kampaně.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Jednotlivé kompetence, znalosti a způsobilosti uchazeče se ověřují při modelovém nákupu tiskových médií.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Orientace v odborném mediálním názvosloví z oblasti tiskových médií uchazeč vysvětlí význam 5 odborných výrazů zadaných autorizovanou osobou u každého z kritérií hodnocení.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„Písemné a ústní ověření" autorizovaná osoba připraví písemná zadání, která budou obsahově vycházet z kritérií hodnocení. Po vyhodnocení písemné části může autorizovaná osoba požadovat po uchazeči ústní upřesnění odpovědí.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Nákupčí tiskových médií, 20.10.2026 11:42:57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C&amp;COM Advertising,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Stanislav Červ, Holly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OUR MEDIA,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Supraphon,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Nákupčí tiskových médií, 20.10.2026 11:42:57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