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9421F7" Type="http://schemas.openxmlformats.org/officeDocument/2006/relationships/officeDocument" Target="/word/document.xml" /><Relationship Id="coreR599421F7" Type="http://schemas.openxmlformats.org/package/2006/relationships/metadata/core-properties" Target="/docProps/core.xml" /><Relationship Id="customR599421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pro internet, multimédia a nová média (kód: 66-032-M)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pro internet, multimédia a nová média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Výběr vhodných míst a časů pro umístění reklamních sdělení na internetu, v multimédiích a nových médiích s ohledem na zadání klienta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Zpracování plánu nákupu internetových médií, multimédií a nových médií na základě zadání klienta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rozpočtů nákupu internetových médií, multimédií a nových médií včetně vyjednání cen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 z oblasti internetu, multimédií a nových médií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internetu, multimédií a nových médií potřebných k rozhodování o umístění reklamních sdělení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14.10.2015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5 modelových zadání kampaně pro ověření kompetencí: 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Výběr vhodných míst a časů pro umístění reklamních sdělení na internetu, v multimédiích a nových médiích s ohledem na zadání klienta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Zpracování plánu nákupu internetových médií, multimédií a nových médií na základě zadání klienta 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rozpočtů nákupu internetových médií, multimédií a nových médií včetně vyjednání cen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Získávání aktuálních dat a informací z internetu, multimédií a nových médií potřebných pro rozhodování o umístění reklamních sdělení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5 předložených modelových zadání kampaně.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Jednotlivé kompetence, znalosti a způsobilosti uchazeče jsou ověřovány při modelovém nákupu internetových médií, multimédií a nových médií. 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odborném mediálním názvosloví z oblasti internetových médií, multimédií a nových médií uchazeč vysvětlí význam 5 odborných výrazů zadaných autorizovanou osobou u každého z kritérií hodnocení.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Smart-Point,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