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BA56D" Type="http://schemas.openxmlformats.org/officeDocument/2006/relationships/officeDocument" Target="/word/document.xml" /><Relationship Id="coreR275BA56D" Type="http://schemas.openxmlformats.org/package/2006/relationships/metadata/core-properties" Target="/docProps/core.xml" /><Relationship Id="customR275BA5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míst a časů pro umístění reklamních sdělení na internetu, v multimédiích a nových médiích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internetových médií, multimédií a nových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internetových médií, multimédií a nových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internetu, multimédií a nových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internetu, multimédií a nových médií potřebných k rozhodování o umístění reklamních sdělení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22.10.2026 10:17:04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míst a časů pro umístění reklamních sdělení na internetu, v multimédiích a nových médiích s ohledem na zadání klienta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Zpracování plánu nákupu internetových médií, multimédií a nových médií na základě zadání klienta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internetových médií, multimédií a nových médií včetně vyjednání cen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internetu, multimédií a nových médií potřebných pro rozhodování o umístění reklamních sdělení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Jednotlivé kompetence, znalosti a způsobilosti uchazeče se ověřují při modelovém nákupu internetových médií, multimédií a nových médií.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internetových médií, multimédií a nových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22.10.2026 10:17:04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22.10.2026 10:17:04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