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AE3D5" Type="http://schemas.openxmlformats.org/officeDocument/2006/relationships/officeDocument" Target="/word/document.xml" /><Relationship Id="coreR743AE3D5" Type="http://schemas.openxmlformats.org/package/2006/relationships/metadata/core-properties" Target="/docProps/core.xml" /><Relationship Id="customR743AE3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uvádění výrobků do provozu u uživatele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22.10.2026 9:24:57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http://katalog.nsp.cz/karta_p.aspx?id_jp=5129&amp;kod_sm1=37).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strojních zařízeních. Výrobní linkou je chápán ucelený soubor strojů a zařízení, které na sebe vzájemně navazují tak, aby bylo dosaženo ekonomicky výhodnějšího způsobu zhotovení produktu při splnění všech požadavků zákazníka. Každý druh stroje má ovšem z hlediska vykonávání servisních činností určitá specifika. Autorizovaná osoba, po obdržení přihlášky ke zkoušce od uchazeče, bude uchazeče do 14 dnů informovat, na jakém strojním zařízení a na jakých strojních součástích budou jeho znalosti ověřovány.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22.10.2026 9:24:57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22.10.2026 9:24:57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