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E6E51" Type="http://schemas.openxmlformats.org/officeDocument/2006/relationships/officeDocument" Target="/word/document.xml" /><Relationship Id="coreR2B8E6E51" Type="http://schemas.openxmlformats.org/package/2006/relationships/metadata/core-properties" Target="/docProps/core.xml" /><Relationship Id="customR2B8E6E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konstruktér, 28.9.2026 15:27:49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 Autorizovaná osoba, po obdržení přihlášky ke zkoušce od uchazeče, bude uchazeče do 14 dnů informovat, na jakém strojním zařízení a na jakých strojních součástích budou jeho znalosti ověřovány.</w:t>
      </w:r>
    </w:p>
    <w:p>
      <w:pPr>
        <w:pStyle w:val="P21"/>
        <w:framePr w:w="7654" w:h="331" w:hRule="exact" w:wrap="none" w:vAnchor="page" w:hAnchor="margin" w:x="28" w:y="15940"/>
        <w:rPr>
          <w:rStyle w:val="C16"/>
          <w:rtl w:val="0"/>
        </w:rPr>
      </w:pPr>
      <w:r>
        <w:rPr>
          <w:rStyle w:val="C16"/>
          <w:rtl w:val="0"/>
        </w:rPr>
        <w:t>Strojírenský technik konstruktér, 28.9.2026 15:27:49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28.9.2026 15:27:49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