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3C5FD" Type="http://schemas.openxmlformats.org/officeDocument/2006/relationships/officeDocument" Target="/word/document.xml" /><Relationship Id="coreR683C5FD" Type="http://schemas.openxmlformats.org/package/2006/relationships/metadata/core-properties" Target="/docProps/core.xml" /><Relationship Id="customR683C5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Muzejní edukátor/edukátorka (kód: 82-041-T)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Muzejní edukátor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aktuálním muzejně edukačním dění v domácím i zahraničním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edukační koncepce a strategie muzea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pedagogicko-psychologických pojmech vztahujích se k muzejní edukační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cílů muzejní edukace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Navržení a zpracování edukačního programu muzea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a použití vhodných didaktických metod a forem muzejní edukace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Prezentace muzejní edukační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profesionálního jednání a komunikace v muzejní edukační činnosti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Muzejní edukátor/edukátorka, 28.5.2026 0:07:07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aktuálním muzejně edukačním dění v domácím i zahraničním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vývoj muzejnictví v České republice v kontextu světové muzejní kultury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přehled nejvýznamnějších muzeí v České republice a ve světě a stručně charakterizovat jejich zaměření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nejvýznamnější muzea v daném regionu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Objasnit současné muzejně edukační trendy v České republice a ve světě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Objasnit význam ochrany kulturního dědictví a rolí paměťových institucí v českém prostředí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Vysvětlit postavení muzejní edukace v rámci prezentační role muzeí a galerií</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Stanovení edukační koncepce a strategie muzea</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a) Vysvětlit edukační možnosti daného muzea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b) Vypracovat návrh edukační koncepce a strategie daného muzea formou tezí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Objasnit vlastní návrh edukační koncepce a strategie daného muzea dle zpracovaných tezí</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Orientace v pedagogicko-psychologických pojmech vztahujích se k muzejní edukační činnosti</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831" w:hRule="exact" w:wrap="none" w:vAnchor="page" w:hAnchor="margin" w:x="45" w:y="11026"/>
        <w:rPr>
          <w:rStyle w:val="C3"/>
          <w:rtl w:val="0"/>
        </w:rPr>
      </w:pPr>
    </w:p>
    <w:p>
      <w:pPr>
        <w:pStyle w:val="P13"/>
        <w:framePr w:w="6658" w:h="704" w:hRule="exact" w:wrap="none" w:vAnchor="page" w:hAnchor="margin" w:x="71" w:y="11082"/>
        <w:rPr>
          <w:rStyle w:val="C11"/>
          <w:rtl w:val="0"/>
        </w:rPr>
      </w:pPr>
      <w:r>
        <w:rPr>
          <w:rStyle w:val="C11"/>
          <w:rtl w:val="0"/>
        </w:rPr>
        <w:t>a) Charakterizovat specifika jednotlivých cílových skupin z hlediska psychického vývoje a zdravotního stavu a jejich vliv na zajištění vzdělávacích aktivit</w:t>
      </w:r>
    </w:p>
    <w:p>
      <w:pPr>
        <w:pStyle w:val="P28"/>
        <w:framePr w:w="3921" w:h="831" w:hRule="exact" w:wrap="none" w:vAnchor="page" w:hAnchor="margin" w:x="6800" w:y="11026"/>
        <w:rPr>
          <w:rStyle w:val="C3"/>
          <w:rtl w:val="0"/>
        </w:rPr>
      </w:pPr>
    </w:p>
    <w:p>
      <w:pPr>
        <w:pStyle w:val="P29"/>
        <w:framePr w:w="3839" w:h="704" w:hRule="exact" w:wrap="none" w:vAnchor="page" w:hAnchor="margin" w:x="6856" w:y="11082"/>
        <w:rPr>
          <w:rStyle w:val="C21"/>
          <w:rtl w:val="0"/>
        </w:rPr>
      </w:pPr>
      <w:r>
        <w:rPr>
          <w:rStyle w:val="C21"/>
          <w:rtl w:val="0"/>
        </w:rPr>
        <w:t>Ústní ověření</w:t>
      </w:r>
    </w:p>
    <w:p>
      <w:pPr>
        <w:pStyle w:val="P16"/>
        <w:framePr w:w="6710" w:h="831" w:hRule="exact" w:wrap="none" w:vAnchor="page" w:hAnchor="margin" w:x="45" w:y="11857"/>
        <w:rPr>
          <w:rStyle w:val="C3"/>
          <w:rtl w:val="0"/>
        </w:rPr>
      </w:pPr>
    </w:p>
    <w:p>
      <w:pPr>
        <w:pStyle w:val="P17"/>
        <w:framePr w:w="6658" w:h="704" w:hRule="exact" w:wrap="none" w:vAnchor="page" w:hAnchor="margin" w:x="71" w:y="11913"/>
        <w:rPr>
          <w:rStyle w:val="C13"/>
          <w:rtl w:val="0"/>
        </w:rPr>
      </w:pPr>
      <w:r>
        <w:rPr>
          <w:rStyle w:val="C13"/>
          <w:rtl w:val="0"/>
        </w:rPr>
        <w:t xml:space="preserve">b) Charakterizovat význam celoživotního vzdělávání.  Vysvětlit pojmy: formální, neformální a informální vzdělávání; zájmové vzdělávání, edutainment (zábavné vzdělávání)</w:t>
      </w:r>
    </w:p>
    <w:p>
      <w:pPr>
        <w:pStyle w:val="P30"/>
        <w:framePr w:w="3921" w:h="831" w:hRule="exact" w:wrap="none" w:vAnchor="page" w:hAnchor="margin" w:x="6800" w:y="11857"/>
        <w:rPr>
          <w:rStyle w:val="C3"/>
          <w:rtl w:val="0"/>
        </w:rPr>
      </w:pPr>
    </w:p>
    <w:p>
      <w:pPr>
        <w:pStyle w:val="P31"/>
        <w:framePr w:w="3839" w:h="704" w:hRule="exact" w:wrap="none" w:vAnchor="page" w:hAnchor="margin" w:x="6856" w:y="11913"/>
        <w:rPr>
          <w:rStyle w:val="C22"/>
          <w:rtl w:val="0"/>
        </w:rPr>
      </w:pPr>
      <w:r>
        <w:rPr>
          <w:rStyle w:val="C22"/>
          <w:rtl w:val="0"/>
        </w:rPr>
        <w:t>Ústní ověření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c) Popsat stupně vzdělávání (předškolní, základní, střední, vyšší odborné, vysokoškolské)</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Muzejní edukátor/edukátorka, 28.5.2026 0:07:08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cílů muzejní edukace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a rozlišit vzdělávací cíle edukační činnosti pro skupiny návštěvníků (např. pro děti, veřejnost, základní školy, pro střední školy a specifické skupiny)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vzdělávací cíl a obsah konkrétního vzdělávacího programu (projektu) na určité téma pro stanovenou cílovou skupinu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Navržení a zpracování edukačního programu muzea</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Zpracovat konkrétní vzdělávací projekt na základě stanoveného vzdělávacího cíle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Navrhnout k vzdělávacímu projektu nástroje pro evaluaci jeho efektivity</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6869"/>
        <w:rPr>
          <w:rStyle w:val="C23"/>
          <w:rtl w:val="0"/>
        </w:rPr>
      </w:pPr>
      <w:r>
        <w:rPr>
          <w:rStyle w:val="C23"/>
          <w:rtl w:val="0"/>
        </w:rPr>
        <w:t>Je třeba splnit obě kritéria.</w:t>
      </w:r>
    </w:p>
    <w:p>
      <w:pPr>
        <w:pStyle w:val="P23"/>
        <w:framePr w:w="10710" w:h="340" w:hRule="exact" w:wrap="none" w:vAnchor="page" w:hAnchor="margin" w:x="28" w:y="7304"/>
        <w:rPr>
          <w:rStyle w:val="C18"/>
          <w:rtl w:val="0"/>
        </w:rPr>
      </w:pPr>
      <w:r>
        <w:rPr>
          <w:rStyle w:val="C18"/>
          <w:rtl w:val="0"/>
        </w:rPr>
        <w:t>Výběr a použití vhodných didaktických metod a forem muzejní edukace</w:t>
      </w:r>
    </w:p>
    <w:p>
      <w:pPr>
        <w:pStyle w:val="P24"/>
        <w:framePr w:w="6713" w:h="376" w:hRule="exact" w:wrap="none" w:vAnchor="page" w:hAnchor="margin" w:x="45" w:y="7744"/>
        <w:rPr>
          <w:rStyle w:val="C3"/>
          <w:rtl w:val="0"/>
        </w:rPr>
      </w:pPr>
    </w:p>
    <w:p>
      <w:pPr>
        <w:pStyle w:val="P25"/>
        <w:framePr w:w="6661" w:h="249" w:hRule="exact" w:wrap="none" w:vAnchor="page" w:hAnchor="margin" w:x="71" w:y="7815"/>
        <w:rPr>
          <w:rStyle w:val="C19"/>
          <w:rtl w:val="0"/>
        </w:rPr>
      </w:pPr>
      <w:r>
        <w:rPr>
          <w:rStyle w:val="C19"/>
          <w:rtl w:val="0"/>
        </w:rPr>
        <w:t>Kritéria hodnocení</w:t>
      </w:r>
    </w:p>
    <w:p>
      <w:pPr>
        <w:pStyle w:val="P26"/>
        <w:framePr w:w="3918" w:h="376" w:hRule="exact" w:wrap="none" w:vAnchor="page" w:hAnchor="margin" w:x="6803" w:y="7744"/>
        <w:rPr>
          <w:rStyle w:val="C3"/>
          <w:rtl w:val="0"/>
        </w:rPr>
      </w:pPr>
    </w:p>
    <w:p>
      <w:pPr>
        <w:pStyle w:val="P27"/>
        <w:framePr w:w="3836" w:h="249" w:hRule="exact" w:wrap="none" w:vAnchor="page" w:hAnchor="margin" w:x="6859" w:y="7815"/>
        <w:rPr>
          <w:rStyle w:val="C20"/>
          <w:rtl w:val="0"/>
        </w:rPr>
      </w:pPr>
      <w:r>
        <w:rPr>
          <w:rStyle w:val="C20"/>
          <w:rtl w:val="0"/>
        </w:rPr>
        <w:t>Způsoby ověření</w:t>
      </w:r>
    </w:p>
    <w:p>
      <w:pPr>
        <w:pStyle w:val="P12"/>
        <w:framePr w:w="6710" w:h="376" w:hRule="exact" w:wrap="none" w:vAnchor="page" w:hAnchor="margin" w:x="45" w:y="8120"/>
        <w:rPr>
          <w:rStyle w:val="C3"/>
          <w:rtl w:val="0"/>
        </w:rPr>
      </w:pPr>
    </w:p>
    <w:p>
      <w:pPr>
        <w:pStyle w:val="P13"/>
        <w:framePr w:w="6658" w:h="249" w:hRule="exact" w:wrap="none" w:vAnchor="page" w:hAnchor="margin" w:x="71" w:y="8176"/>
        <w:rPr>
          <w:rStyle w:val="C11"/>
          <w:rtl w:val="0"/>
        </w:rPr>
      </w:pPr>
      <w:r>
        <w:rPr>
          <w:rStyle w:val="C11"/>
          <w:rtl w:val="0"/>
        </w:rPr>
        <w:t>a) Předvést a vysvětlit použití metod a forem muzejní edukace</w:t>
      </w:r>
    </w:p>
    <w:p>
      <w:pPr>
        <w:pStyle w:val="P28"/>
        <w:framePr w:w="3921" w:h="376" w:hRule="exact" w:wrap="none" w:vAnchor="page" w:hAnchor="margin" w:x="6800" w:y="8120"/>
        <w:rPr>
          <w:rStyle w:val="C3"/>
          <w:rtl w:val="0"/>
        </w:rPr>
      </w:pPr>
    </w:p>
    <w:p>
      <w:pPr>
        <w:pStyle w:val="P29"/>
        <w:framePr w:w="3839" w:h="249" w:hRule="exact" w:wrap="none" w:vAnchor="page" w:hAnchor="margin" w:x="6856" w:y="8176"/>
        <w:rPr>
          <w:rStyle w:val="C21"/>
          <w:rtl w:val="0"/>
        </w:rPr>
      </w:pPr>
      <w:r>
        <w:rPr>
          <w:rStyle w:val="C21"/>
          <w:rtl w:val="0"/>
        </w:rPr>
        <w:t>Praktické předvedení</w:t>
      </w:r>
    </w:p>
    <w:p>
      <w:pPr>
        <w:pStyle w:val="P16"/>
        <w:framePr w:w="6710" w:h="607" w:hRule="exact" w:wrap="none" w:vAnchor="page" w:hAnchor="margin" w:x="45" w:y="8496"/>
        <w:rPr>
          <w:rStyle w:val="C3"/>
          <w:rtl w:val="0"/>
        </w:rPr>
      </w:pPr>
    </w:p>
    <w:p>
      <w:pPr>
        <w:pStyle w:val="P17"/>
        <w:framePr w:w="6658" w:h="480" w:hRule="exact" w:wrap="none" w:vAnchor="page" w:hAnchor="margin" w:x="71" w:y="8552"/>
        <w:rPr>
          <w:rStyle w:val="C13"/>
          <w:rtl w:val="0"/>
        </w:rPr>
      </w:pPr>
      <w:r>
        <w:rPr>
          <w:rStyle w:val="C13"/>
          <w:rtl w:val="0"/>
        </w:rPr>
        <w:t>b) Předvést a objasnit využití prostředků informačních a komunikačních technologií pro muzejní edukaci s uvedením příkladů</w:t>
      </w:r>
    </w:p>
    <w:p>
      <w:pPr>
        <w:pStyle w:val="P30"/>
        <w:framePr w:w="3921" w:h="607" w:hRule="exact" w:wrap="none" w:vAnchor="page" w:hAnchor="margin" w:x="6800" w:y="8496"/>
        <w:rPr>
          <w:rStyle w:val="C3"/>
          <w:rtl w:val="0"/>
        </w:rPr>
      </w:pPr>
    </w:p>
    <w:p>
      <w:pPr>
        <w:pStyle w:val="P31"/>
        <w:framePr w:w="3839" w:h="480" w:hRule="exact" w:wrap="none" w:vAnchor="page" w:hAnchor="margin" w:x="6856" w:y="8552"/>
        <w:rPr>
          <w:rStyle w:val="C22"/>
          <w:rtl w:val="0"/>
        </w:rPr>
      </w:pPr>
      <w:r>
        <w:rPr>
          <w:rStyle w:val="C22"/>
          <w:rtl w:val="0"/>
        </w:rPr>
        <w:t>Praktické předvedení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c) Charakterizovat přínos a možnosti využití interaktivních prostředků v edukační činnosti</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ověření</w:t>
      </w:r>
    </w:p>
    <w:p>
      <w:pPr>
        <w:pStyle w:val="P32"/>
        <w:framePr w:w="10710" w:h="248" w:hRule="exact" w:wrap="none" w:vAnchor="page" w:hAnchor="margin" w:x="28" w:y="9823"/>
        <w:rPr>
          <w:rStyle w:val="C23"/>
          <w:rtl w:val="0"/>
        </w:rPr>
      </w:pPr>
      <w:r>
        <w:rPr>
          <w:rStyle w:val="C23"/>
          <w:rtl w:val="0"/>
        </w:rPr>
        <w:t>Je třeba splnit všechna kritéria.</w:t>
      </w:r>
    </w:p>
    <w:p>
      <w:pPr>
        <w:pStyle w:val="P23"/>
        <w:framePr w:w="10710" w:h="340" w:hRule="exact" w:wrap="none" w:vAnchor="page" w:hAnchor="margin" w:x="28" w:y="10259"/>
        <w:rPr>
          <w:rStyle w:val="C18"/>
          <w:rtl w:val="0"/>
        </w:rPr>
      </w:pPr>
      <w:r>
        <w:rPr>
          <w:rStyle w:val="C18"/>
          <w:rtl w:val="0"/>
        </w:rPr>
        <w:t>Prezentace muzejní edukační činnosti</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376" w:hRule="exact" w:wrap="none" w:vAnchor="page" w:hAnchor="margin" w:x="45" w:y="11074"/>
        <w:rPr>
          <w:rStyle w:val="C3"/>
          <w:rtl w:val="0"/>
        </w:rPr>
      </w:pPr>
    </w:p>
    <w:p>
      <w:pPr>
        <w:pStyle w:val="P13"/>
        <w:framePr w:w="6658" w:h="249" w:hRule="exact" w:wrap="none" w:vAnchor="page" w:hAnchor="margin" w:x="71" w:y="11130"/>
        <w:rPr>
          <w:rStyle w:val="C11"/>
          <w:rtl w:val="0"/>
        </w:rPr>
      </w:pPr>
      <w:r>
        <w:rPr>
          <w:rStyle w:val="C11"/>
          <w:rtl w:val="0"/>
        </w:rPr>
        <w:t>a) Prezentovat a obhájit připravený projekt</w:t>
      </w:r>
    </w:p>
    <w:p>
      <w:pPr>
        <w:pStyle w:val="P28"/>
        <w:framePr w:w="3921" w:h="376" w:hRule="exact" w:wrap="none" w:vAnchor="page" w:hAnchor="margin" w:x="6800" w:y="11074"/>
        <w:rPr>
          <w:rStyle w:val="C3"/>
          <w:rtl w:val="0"/>
        </w:rPr>
      </w:pPr>
    </w:p>
    <w:p>
      <w:pPr>
        <w:pStyle w:val="P29"/>
        <w:framePr w:w="3839" w:h="249" w:hRule="exact" w:wrap="none" w:vAnchor="page" w:hAnchor="margin" w:x="6856" w:y="11130"/>
        <w:rPr>
          <w:rStyle w:val="C21"/>
          <w:rtl w:val="0"/>
        </w:rPr>
      </w:pPr>
      <w:r>
        <w:rPr>
          <w:rStyle w:val="C21"/>
          <w:rtl w:val="0"/>
        </w:rPr>
        <w:t>Praktické předvedení a ústní ověření</w:t>
      </w:r>
    </w:p>
    <w:p>
      <w:pPr>
        <w:pStyle w:val="P16"/>
        <w:framePr w:w="6710" w:h="831" w:hRule="exact" w:wrap="none" w:vAnchor="page" w:hAnchor="margin" w:x="45" w:y="11451"/>
        <w:rPr>
          <w:rStyle w:val="C3"/>
          <w:rtl w:val="0"/>
        </w:rPr>
      </w:pPr>
    </w:p>
    <w:p>
      <w:pPr>
        <w:pStyle w:val="P17"/>
        <w:framePr w:w="6658" w:h="704" w:hRule="exact" w:wrap="none" w:vAnchor="page" w:hAnchor="margin" w:x="71" w:y="11507"/>
        <w:rPr>
          <w:rStyle w:val="C13"/>
          <w:rtl w:val="0"/>
        </w:rPr>
      </w:pPr>
      <w:r>
        <w:rPr>
          <w:rStyle w:val="C13"/>
          <w:rtl w:val="0"/>
        </w:rPr>
        <w:t>b) Navrhnout tematiku odborného přednáškového cyklu pro veřejnost s využitím sbírkového fondu muzea a s využitím interaktivních prvků (formou tezí)</w:t>
      </w:r>
    </w:p>
    <w:p>
      <w:pPr>
        <w:pStyle w:val="P30"/>
        <w:framePr w:w="3921" w:h="831" w:hRule="exact" w:wrap="none" w:vAnchor="page" w:hAnchor="margin" w:x="6800" w:y="11451"/>
        <w:rPr>
          <w:rStyle w:val="C3"/>
          <w:rtl w:val="0"/>
        </w:rPr>
      </w:pPr>
    </w:p>
    <w:p>
      <w:pPr>
        <w:pStyle w:val="P31"/>
        <w:framePr w:w="3839" w:h="704" w:hRule="exact" w:wrap="none" w:vAnchor="page" w:hAnchor="margin" w:x="6856" w:y="11507"/>
        <w:rPr>
          <w:rStyle w:val="C22"/>
          <w:rtl w:val="0"/>
        </w:rPr>
      </w:pPr>
      <w:r>
        <w:rPr>
          <w:rStyle w:val="C22"/>
          <w:rtl w:val="0"/>
        </w:rPr>
        <w:t>Praktické předvedení a ústní ověření</w:t>
      </w:r>
    </w:p>
    <w:p>
      <w:pPr>
        <w:pStyle w:val="P12"/>
        <w:framePr w:w="6710" w:h="376" w:hRule="exact" w:wrap="none" w:vAnchor="page" w:hAnchor="margin" w:x="45" w:y="12282"/>
        <w:rPr>
          <w:rStyle w:val="C3"/>
          <w:rtl w:val="0"/>
        </w:rPr>
      </w:pPr>
    </w:p>
    <w:p>
      <w:pPr>
        <w:pStyle w:val="P13"/>
        <w:framePr w:w="6658" w:h="249" w:hRule="exact" w:wrap="none" w:vAnchor="page" w:hAnchor="margin" w:x="71" w:y="12338"/>
        <w:rPr>
          <w:rStyle w:val="C11"/>
          <w:rtl w:val="0"/>
        </w:rPr>
      </w:pPr>
      <w:r>
        <w:rPr>
          <w:rStyle w:val="C11"/>
          <w:rtl w:val="0"/>
        </w:rPr>
        <w:t>c) Vypracovat nabídku aktivit pro konkrétní typ školy s využitím fondu muzea</w:t>
      </w:r>
    </w:p>
    <w:p>
      <w:pPr>
        <w:pStyle w:val="P28"/>
        <w:framePr w:w="3921" w:h="376" w:hRule="exact" w:wrap="none" w:vAnchor="page" w:hAnchor="margin" w:x="6800" w:y="12282"/>
        <w:rPr>
          <w:rStyle w:val="C3"/>
          <w:rtl w:val="0"/>
        </w:rPr>
      </w:pPr>
    </w:p>
    <w:p>
      <w:pPr>
        <w:pStyle w:val="P29"/>
        <w:framePr w:w="3839" w:h="249" w:hRule="exact" w:wrap="none" w:vAnchor="page" w:hAnchor="margin" w:x="6856" w:y="12338"/>
        <w:rPr>
          <w:rStyle w:val="C21"/>
          <w:rtl w:val="0"/>
        </w:rPr>
      </w:pPr>
      <w:r>
        <w:rPr>
          <w:rStyle w:val="C21"/>
          <w:rtl w:val="0"/>
        </w:rPr>
        <w:t>Praktické předvedení a ústní ověření</w:t>
      </w:r>
    </w:p>
    <w:p>
      <w:pPr>
        <w:pStyle w:val="P16"/>
        <w:framePr w:w="6710" w:h="607" w:hRule="exact" w:wrap="none" w:vAnchor="page" w:hAnchor="margin" w:x="45" w:y="12658"/>
        <w:rPr>
          <w:rStyle w:val="C3"/>
          <w:rtl w:val="0"/>
        </w:rPr>
      </w:pPr>
    </w:p>
    <w:p>
      <w:pPr>
        <w:pStyle w:val="P17"/>
        <w:framePr w:w="6658" w:h="480" w:hRule="exact" w:wrap="none" w:vAnchor="page" w:hAnchor="margin" w:x="71" w:y="12714"/>
        <w:rPr>
          <w:rStyle w:val="C13"/>
          <w:rtl w:val="0"/>
        </w:rPr>
      </w:pPr>
      <w:r>
        <w:rPr>
          <w:rStyle w:val="C13"/>
          <w:rtl w:val="0"/>
        </w:rPr>
        <w:t>d) Vytvořit a předvést prezentaci daného muzea (nebo muzejního objektu nebo sbírky)</w:t>
      </w:r>
    </w:p>
    <w:p>
      <w:pPr>
        <w:pStyle w:val="P30"/>
        <w:framePr w:w="3921" w:h="607" w:hRule="exact" w:wrap="none" w:vAnchor="page" w:hAnchor="margin" w:x="6800" w:y="12658"/>
        <w:rPr>
          <w:rStyle w:val="C3"/>
          <w:rtl w:val="0"/>
        </w:rPr>
      </w:pPr>
    </w:p>
    <w:p>
      <w:pPr>
        <w:pStyle w:val="P31"/>
        <w:framePr w:w="3839" w:h="480" w:hRule="exact" w:wrap="none" w:vAnchor="page" w:hAnchor="margin" w:x="6856" w:y="12714"/>
        <w:rPr>
          <w:rStyle w:val="C22"/>
          <w:rtl w:val="0"/>
        </w:rPr>
      </w:pPr>
      <w:r>
        <w:rPr>
          <w:rStyle w:val="C22"/>
          <w:rtl w:val="0"/>
        </w:rPr>
        <w:t>Praktické předvedení</w:t>
      </w:r>
    </w:p>
    <w:p>
      <w:pPr>
        <w:pStyle w:val="P12"/>
        <w:framePr w:w="6710" w:h="376" w:hRule="exact" w:wrap="none" w:vAnchor="page" w:hAnchor="margin" w:x="45" w:y="13265"/>
        <w:rPr>
          <w:rStyle w:val="C3"/>
          <w:rtl w:val="0"/>
        </w:rPr>
      </w:pPr>
    </w:p>
    <w:p>
      <w:pPr>
        <w:pStyle w:val="P13"/>
        <w:framePr w:w="6658" w:h="249" w:hRule="exact" w:wrap="none" w:vAnchor="page" w:hAnchor="margin" w:x="71" w:y="13321"/>
        <w:rPr>
          <w:rStyle w:val="C11"/>
          <w:rtl w:val="0"/>
        </w:rPr>
      </w:pPr>
      <w:r>
        <w:rPr>
          <w:rStyle w:val="C11"/>
          <w:rtl w:val="0"/>
        </w:rPr>
        <w:t>e) Uvést příklady pomůcek a doplňkových materiálů v muzejní edukaci</w:t>
      </w:r>
    </w:p>
    <w:p>
      <w:pPr>
        <w:pStyle w:val="P28"/>
        <w:framePr w:w="3921" w:h="376" w:hRule="exact" w:wrap="none" w:vAnchor="page" w:hAnchor="margin" w:x="6800" w:y="13265"/>
        <w:rPr>
          <w:rStyle w:val="C3"/>
          <w:rtl w:val="0"/>
        </w:rPr>
      </w:pPr>
    </w:p>
    <w:p>
      <w:pPr>
        <w:pStyle w:val="P29"/>
        <w:framePr w:w="3839" w:h="249" w:hRule="exact" w:wrap="none" w:vAnchor="page" w:hAnchor="margin" w:x="6856" w:y="13321"/>
        <w:rPr>
          <w:rStyle w:val="C21"/>
          <w:rtl w:val="0"/>
        </w:rPr>
      </w:pPr>
      <w:r>
        <w:rPr>
          <w:rStyle w:val="C21"/>
          <w:rtl w:val="0"/>
        </w:rPr>
        <w:t>Ústní ověření</w:t>
      </w:r>
    </w:p>
    <w:p>
      <w:pPr>
        <w:pStyle w:val="P32"/>
        <w:framePr w:w="10710" w:h="248" w:hRule="exact" w:wrap="none" w:vAnchor="page" w:hAnchor="margin" w:x="28" w:y="13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Muzejní edukátor/edukátorka, 28.5.2026 0:07:08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profesionálního jednání a komunikace v muzejní edukační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komunikaci s ohledem na typ klienta a cílové skupiny a vysvětlit zásady této komunikace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Uplatňovat komunikační a řečnické dovednosti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 vysvětlit komunikaci s problémovými návštěvníky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způsob zajištění bezpečnosti návštěvníků muzejní edukace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Muzejní edukátor/edukátorka, 28.5.2026 0:07:08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profesní životopis a rovněž doloží znalost anglického jazyka na minimální úrovni jazykových znalostí B1 dle Společného evropského referenčního rámce pro jazyky.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1"/>
          <w:caps w:val="0"/>
          <w:strike w:val="0"/>
          <w:noProof w:val="0"/>
          <w:vanish w:val="0"/>
          <w:color w:val="auto"/>
          <w:sz w:val="20"/>
          <w:u w:val="none"/>
          <w:shd w:val="clear" w:color="auto" w:fill="auto"/>
          <w:vertAlign w:val="baseline"/>
          <w:lang/>
        </w:rPr>
        <w:t>Tato profesní kvalifikace je zaměřena jednak na edukační činnost muzeí, tak i na edukační činnost muzeí umění (galerií).</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v předstihu po vzájemné dohodě konkrétní pokyny 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Stanovení edukační koncepce a strategie muzea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Stanovení cílů muzejní edukace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Navržení a zpracování edukačního programu muzea</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Prezentace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a to v termínu 25 pracovních dnů před termínem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odevzdá nejpozději 5 pracovních dní před termínem zkoušky zpracovaný vzdělávací projekt a další podklady podle výše uvedených kompetencí; tyto zašle na adresu autorizované osoby 1x v tištěné podobě a zároveň elektronicky.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Orientace v aktuálním muzejně edukačním dění v domácím i zahraničním prostředí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je za daný region považován region, ve kterém se nachází autorizovaná osoba.</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Stanovení edukační koncepce a strategie muzea</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určí po dohodě s uchazečem konkrétní muzeum. Pro kritérium hodnocení b) uchazeč vypracuje návrh edukační koncepce a strategie daného muzea formou tezí v předstihu před konáním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pedagogicko-psychologických pojmech vztahujících se k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uchazeč vysvětlí základní rysy psychologického vývoje dětí předškolního a mladšího školního věku, dospívajících, dospělých, seniorů; taktéž v případě sociálních a etnických skupin ve společnosti. Na příkladech objasní vliv zdravotního stavu nebo zdravotního hendikepu na přípravu a zajištění aktivit.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kompetence </w:t>
      </w:r>
      <w:r>
        <w:rPr>
          <w:rFonts w:ascii="Arial" w:cs="Arial" w:hAnsi="Arial" w:eastAsia="Arial"/>
          <w:b w:val="1"/>
          <w:i w:val="0"/>
          <w:caps w:val="0"/>
          <w:strike w:val="0"/>
          <w:noProof w:val="0"/>
          <w:vanish w:val="0"/>
          <w:color w:val="auto"/>
          <w:sz w:val="20"/>
          <w:u w:val="none"/>
          <w:shd w:val="clear" w:color="auto" w:fill="auto"/>
          <w:vertAlign w:val="baseline"/>
          <w:lang/>
        </w:rPr>
        <w:t>Stanovení cílů muzejní edukace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bude vymezeno zpracování vzdělávacího projektu. Autorizovaná osoba určí v předstihu po dohodě s uchazečem konkrétní téma vzdělávacího projektu a cílovou skupinu, pro kterou bude zpracován vzdělávací projekt. Projekt bude zaměřen tematicky, např. regionálně, oborově nebo zájmově; cílovou skupinou se rozumí např. děti, veřejnost, základní školy, střední školy.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Navržení a zpracování edukačního programu muzea</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stanoví v předstihu rozsah a formální zpracování vzdělávacího projektu. Projekt bude obsahovat vymezení cílů, obsahu, metod a prostředků a doplňujících materiálů v min. rozsahu 4 normostrany strojopisu + obrazová příloha.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Výběr a použití vhodných didaktických metod a forem muzejní edukace</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kritéria hodnocení a), b) bude ověřena při prezentaci vlastního projektu uchazeče.</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Prezentace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kritéria hodnocení b), c), d) zpracuje uchazeč v předstihu před konáním zkoušky veškeré podklady; jejich tematika a rozsah bude upřesněn v předstihu po dohodě s autorizovanou osobou. Podklady pro kritéria hodnocení b), c) budou zpracovány formou tezí. Pro kritérium hodnocení d) bude zpracována prezentace pro předvedení v délce 10-15 minut.</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využití znalostí a dovedností kompetence </w:t>
      </w:r>
      <w:r>
        <w:rPr>
          <w:rFonts w:ascii="Arial" w:cs="Arial" w:hAnsi="Arial" w:eastAsia="Arial"/>
          <w:b w:val="1"/>
          <w:i w:val="0"/>
          <w:caps w:val="0"/>
          <w:strike w:val="0"/>
          <w:noProof w:val="0"/>
          <w:vanish w:val="0"/>
          <w:color w:val="auto"/>
          <w:sz w:val="20"/>
          <w:u w:val="none"/>
          <w:shd w:val="clear" w:color="auto" w:fill="auto"/>
          <w:vertAlign w:val="baseline"/>
          <w:lang/>
        </w:rPr>
        <w:t>Uplatňování profesionálního jednání a komunikace v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probíhá praktické předvedení a obhajoba zpracovaného vzdělávacího projektu a dalších prací v rámci tohoto hodnoticího standardu; kritérium hodnocení c) je zaměřeno na řešení situace např. s nespokojenými návštěvníky s výkladem průvodce, s hlučnými a vyrušujícími klienty, dále s projevy nepřiměřeného chování vůči kustodům a průvodcům, řešení odpovědí na písemné stížnosti, dále vracení vstupného.</w:t>
      </w:r>
    </w:p>
    <w:p>
      <w:pPr>
        <w:pStyle w:val="P21"/>
        <w:framePr w:w="7654" w:h="331" w:hRule="exact" w:wrap="none" w:vAnchor="page" w:hAnchor="margin" w:x="28" w:y="15940"/>
        <w:rPr>
          <w:rStyle w:val="C16"/>
          <w:rtl w:val="0"/>
        </w:rPr>
      </w:pPr>
      <w:r>
        <w:rPr>
          <w:rStyle w:val="C16"/>
          <w:rtl w:val="0"/>
        </w:rPr>
        <w:t>Muzejní edukátor/edukátorka, 28.5.2026 0:07:08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42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muzeologii nebo příbuzné obory a alespoň 5 let odborné praxe v oblasti muzejní edukační činnosti, nebo řízení kulturní instituce, nebo ve funkci učitele odborných předmětů v oblasti muzejní edukační činnosti, nebo arts managementu, z toho minimálně jeden rok v období posledních dvou let před podáním žádosti o udělení autorizace.</w:t>
      </w:r>
    </w:p>
    <w:p>
      <w:pPr>
        <w:keepNext w:val="0"/>
        <w:keepLines w:val="1"/>
        <w:framePr w:w="10766" w:h="687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alespoň 5 let odborné praxe v oblasti muzejní edukační činnosti, z toho minimálně jeden rok v období posledních dvou let před podáním žádosti o udělení autorizace.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Muzejní edukátor/edukátorka, 28.5.2026 0:07:08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zkoušky musí mít autorizovaná osoba k dispozici zkušební místnost a následující vybavení:</w:t>
      </w:r>
    </w:p>
    <w:p>
      <w:pPr>
        <w:keepNext w:val="0"/>
        <w:keepLines w:val="1"/>
        <w:framePr w:w="10766" w:h="2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základním softwarem (počítač nebo notebook s připojením na Internet, aplikace MS Office)</w:t>
      </w:r>
    </w:p>
    <w:p>
      <w:pPr>
        <w:keepNext w:val="0"/>
        <w:keepLines w:val="1"/>
        <w:framePr w:w="10766" w:h="2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•audiovizuální pomůcky a vybavení pro prezentaci</w:t>
      </w:r>
    </w:p>
    <w:p>
      <w:pPr>
        <w:keepNext w:val="0"/>
        <w:keepLines w:val="0"/>
        <w:framePr w:w="10766" w:h="2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188"/>
        <w:rPr>
          <w:rStyle w:val="C3"/>
          <w:rtl w:val="0"/>
        </w:rPr>
      </w:pPr>
    </w:p>
    <w:p>
      <w:pPr>
        <w:pStyle w:val="P35"/>
        <w:framePr w:w="10710" w:h="340" w:hRule="exact" w:wrap="none" w:vAnchor="page" w:hAnchor="margin" w:x="28" w:y="5188"/>
        <w:rPr>
          <w:rStyle w:val="C25"/>
          <w:rtl w:val="0"/>
        </w:rPr>
      </w:pPr>
      <w:r>
        <w:rPr>
          <w:rStyle w:val="C25"/>
          <w:rtl w:val="0"/>
        </w:rPr>
        <w:t>Doba přípravy na zkoušku</w:t>
      </w:r>
    </w:p>
    <w:p>
      <w:pPr>
        <w:keepNext w:val="0"/>
        <w:keepLines w:val="0"/>
        <w:framePr w:w="10766" w:h="1036" w:hRule="exact" w:wrap="none" w:vAnchor="page" w:hAnchor="margin" w:x="0" w:y="5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60 minut. Do doby přípravy na zkoušku se nezapočítává doba na seznámení uchazeče s pracovištěm a s požadavky BOZP a PO.</w:t>
      </w:r>
    </w:p>
    <w:p>
      <w:pPr>
        <w:pStyle w:val="P33"/>
        <w:framePr w:w="10766" w:h="1146" w:hRule="exact" w:wrap="none" w:vAnchor="page" w:hAnchor="margin" w:x="0" w:y="6791"/>
        <w:rPr>
          <w:rStyle w:val="C3"/>
          <w:rtl w:val="0"/>
        </w:rPr>
      </w:pPr>
    </w:p>
    <w:p>
      <w:pPr>
        <w:pStyle w:val="P35"/>
        <w:framePr w:w="10710" w:h="340" w:hRule="exact" w:wrap="none" w:vAnchor="page" w:hAnchor="margin" w:x="28" w:y="6791"/>
        <w:rPr>
          <w:rStyle w:val="C25"/>
          <w:rtl w:val="0"/>
        </w:rPr>
      </w:pPr>
      <w:r>
        <w:rPr>
          <w:rStyle w:val="C25"/>
          <w:rtl w:val="0"/>
        </w:rPr>
        <w:t>Doba pro vykonání zkoušky</w:t>
      </w:r>
    </w:p>
    <w:p>
      <w:pPr>
        <w:keepNext w:val="0"/>
        <w:keepLines w:val="0"/>
        <w:framePr w:w="10766" w:h="806" w:hRule="exact" w:wrap="none" w:vAnchor="page" w:hAnchor="margin" w:x="0" w:y="7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Muzejní edukátor/edukátorka, 28.5.2026 0:07:08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archeologie a muzeologie Filosofické fakulty Masarykovy univerzity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Moravské zemské muzeumm</w:t>
      </w:r>
    </w:p>
    <w:p>
      <w:pPr>
        <w:pStyle w:val="P21"/>
        <w:framePr w:w="7654" w:h="331" w:hRule="exact" w:wrap="none" w:vAnchor="page" w:hAnchor="margin" w:x="28" w:y="15940"/>
        <w:rPr>
          <w:rStyle w:val="C16"/>
          <w:rtl w:val="0"/>
        </w:rPr>
      </w:pPr>
      <w:r>
        <w:rPr>
          <w:rStyle w:val="C16"/>
          <w:rtl w:val="0"/>
        </w:rPr>
        <w:t>Muzejní edukátor/edukátorka, 28.5.2026 0:07:08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61ED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5287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3ABF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