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538C1A" Type="http://schemas.openxmlformats.org/officeDocument/2006/relationships/officeDocument" Target="/word/document.xml" /><Relationship Id="coreR3B538C1A" Type="http://schemas.openxmlformats.org/package/2006/relationships/metadata/core-properties" Target="/docProps/core.xml" /><Relationship Id="customR3B538C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aktuálním muzejně edukačním dění v domácím i zahraničním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edukační koncepce a strategie muzea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pedagogicko-psychologických pojmech vztahujích se k muzejní edukační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muzejní edukace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a zpracování edukačního programu muzea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a použití vhodných didaktických metod a forem muzejní edukace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Prezentace muzejní edukační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profesionálního jednání a komunikace v muzejní edukační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profesní životopis a rovněž doloží znalost anglického jazyka na minimální úrovni jazykových znalostí B1 dle Společného evropského referenčního rámce pro jazyky.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jednak na edukační činnost muzeí, tak i na edukační činnost muzeí umění (galerií).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v předstihu po vzájemné dohodě konkrétní pokyny 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 to v termínu 25 pracovních dnů před termínem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odevzdá nejpozději 5 pracovních dní před termínem zkoušky zpracovaný vzdělávací projekt a další podklady podle výše uvedených kompetencí; tyto zašle na adresu autorizované osoby 1x v tištěné podobě a zároveň elektronicky.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aktuálním muzejně edukačním dění v domácím i zahraničním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je za daný region považován region, ve kterém se nachází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autorizovaná osoba určí po dohodě s uchazečem konkrétní muzeum. Pro kritérium hodnocení b) uchazeč vypracuje návrh edukační koncepce a strategie daného muzea formou tezí v předstihu před konáním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pedagogicko-psychologických pojmech vztahujících se k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uchazeč vysvětlí základní rysy psychologického vývoje dětí předškolního a mladšího školního věku, dospívajících, dospělých, seniorů; taktéž v případě sociálních a etnických skupin ve společnosti. Na příkladech objasní vliv zdravotního stavu nebo zdravotního hendikepu na přípravu a zajištění aktivit.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bude vymezeno zpracování vzdělávacího projektu. Autorizovaná osoba určí v předstihu po dohodě s uchazečem konkrétní téma vzdělávacího projektu a cílovou skupinu, pro kterou bude zpracován vzdělávací projekt. Projekt bude zaměřen tematicky, např. regionálně, oborově nebo zájmově; cílovou skupinou se rozumí např. děti, veřejnost, základní školy, střední školy.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stanoví v předstihu rozsah a formální zpracování vzdělávacího projektu. Projekt bude obsahovat vymezení cílů, obsahu, metod a prostředků a doplňujících materiálů v min. rozsahu 4 normostrany strojopisu + obrazová příloha.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použití vhodných didaktických metod a forem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 bude ověřena při prezentaci vlastního projektu uchazeče.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b), c), d) zpracuje uchazeč v předstihu před konáním zkoušky veškeré podklady; jejich tematika a rozsah bude upřesněn v předstihu po dohodě s autorizovanou osobou. Podklady pro kritéria hodnocení b), c) budou zpracovány formou tezí. Pro kritérium hodnocení d) bude zpracována prezentace pro předvedení v délce 10-15 minut.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využití znalostí a dovedností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profesionálního jednání a komunikace v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 probíhá praktické předvedení a obhajoba zpracovaného vzdělávacího projektu a dalších prací v rámci tohoto hodnoticího standardu; kritérium hodnocení c) je zaměřeno na řešení situace např. s nespokojenými návštěvníky s výkladem průvodce, s hlučnými a vyrušujícími klienty, dále s projevy nepřiměřeného chování vůči kustodům a průvodcům, řešení odpovědí na písemné stížnosti, dále vracení vstupného.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