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6E88C" Type="http://schemas.openxmlformats.org/officeDocument/2006/relationships/officeDocument" Target="/word/document.xml" /><Relationship Id="coreR24F6E88C" Type="http://schemas.openxmlformats.org/package/2006/relationships/metadata/core-properties" Target="/docProps/core.xml" /><Relationship Id="customR24F6E8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https://www.nsp.cz/jednotka-prace/monter-betonovych-stavebn-c8d5#zdravotni-zpusobilost).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betonových stavebních konstrukcí,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