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4C8DC" Type="http://schemas.openxmlformats.org/officeDocument/2006/relationships/officeDocument" Target="/word/document.xml" /><Relationship Id="coreR2794C8DC" Type="http://schemas.openxmlformats.org/package/2006/relationships/metadata/core-properties" Target="/docProps/core.xml" /><Relationship Id="customR2794C8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nebo 28-065-M Chemicko-farmaceutický operátor a střední vzdělání s maturitní zkouškou a alespoň 5 let odborné praxe v oblasti chemicko-farmaceutických nebo chemických výrob.</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2.10.2026 5:22:38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BC1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CEA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8BB0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