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BC11C" Type="http://schemas.openxmlformats.org/officeDocument/2006/relationships/officeDocument" Target="/word/document.xml" /><Relationship Id="coreR76DBC11C" Type="http://schemas.openxmlformats.org/package/2006/relationships/metadata/core-properties" Target="/docProps/core.xml" /><Relationship Id="customR76DBC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nebo 28-065-M Chemicko-farmaceutický operátor a střední vzdělání s maturitní zkouškou a alespoň 5 let odborné praxe v oblasti chemicko-farmaceutických nebo chemických výrob.</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22.10.2026 10:16:45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A15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7AC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6EC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