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E63A3" Type="http://schemas.openxmlformats.org/officeDocument/2006/relationships/officeDocument" Target="/word/document.xml" /><Relationship Id="coreR4A9E63A3" Type="http://schemas.openxmlformats.org/package/2006/relationships/metadata/core-properties" Target="/docProps/core.xml" /><Relationship Id="customR4A9E63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 chemicko-farmaceutická operátorka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nebo 28-065-M Chemicko-farmaceutický operátor / chemicko-farmaceutická operátorka a střední vzdělání s maturitní zkouškou a alespoň 5 let odborné praxe v oblasti chemicko-farmaceutických nebo chemických výrob.</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11:52:36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0EE7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3ACB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257E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