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175A29" Type="http://schemas.openxmlformats.org/officeDocument/2006/relationships/officeDocument" Target="/word/document.xml" /><Relationship Id="coreR42175A29" Type="http://schemas.openxmlformats.org/package/2006/relationships/metadata/core-properties" Target="/docProps/core.xml" /><Relationship Id="customR42175A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 samostatná elektrotechnička pro elektromagnetickou kompatibilitu (kód: 26-063-R)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elektromagnetickou kompatibilitu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technické a výkresové dokumentace pro návrh způsobu odrušení elektrotechnického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znalosti předpisů a norem k elektromagnetické kompatibilitě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a parametrů, vyhodnocení naměřených hodnot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Prokázání znalosti pojmů z oblasti elektromagnetické kompatibility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rušivých signálů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oblasti elektromagnetického stínění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Omezování rušení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Testování elektromagnetické odolnosti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15.10.2022</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20.8.2026 21:48:31</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a výkresové dokumentace pro návrh způsobu odrušení elektrotechnického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Ukázat a popsat použité odrušovací prostředky, jejich prvky a obvodové zapojení na předloženém elektrotechnickém výkresu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Určit a popsat způsob odrušení z předložené technické dokumentace elektrotechnického zařízení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Vybrat odpovídající součástky pro vykonání zadaného způsobu odrušení určeného elektrotechnického zařízení z předloženého katalogu; navrhnout možnou realizaci a nakreslit příslušné schéma zapojení</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Prokázání znalosti předpisů a norem k elektromagnetické kompatibilitě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831" w:hRule="exact" w:wrap="none" w:vAnchor="page" w:hAnchor="margin" w:x="45" w:y="7144"/>
        <w:rPr>
          <w:rStyle w:val="C3"/>
          <w:rtl w:val="0"/>
        </w:rPr>
      </w:pPr>
    </w:p>
    <w:p>
      <w:pPr>
        <w:pStyle w:val="P13"/>
        <w:framePr w:w="6658" w:h="704" w:hRule="exact" w:wrap="none" w:vAnchor="page" w:hAnchor="margin" w:x="71" w:y="7200"/>
        <w:rPr>
          <w:rStyle w:val="C11"/>
          <w:rtl w:val="0"/>
        </w:rPr>
      </w:pPr>
      <w:r>
        <w:rPr>
          <w:rStyle w:val="C11"/>
          <w:rtl w:val="0"/>
        </w:rPr>
        <w:t>a) Uvést, co stanovují normy EMI (Electromagnetic interference = Elektromagnetická interference) a EMS (Electromagnetic susceptibility = Elektromagnetická susceptibilita) a objasnit rozdíly</w:t>
      </w:r>
    </w:p>
    <w:p>
      <w:pPr>
        <w:pStyle w:val="P28"/>
        <w:framePr w:w="3921" w:h="831" w:hRule="exact" w:wrap="none" w:vAnchor="page" w:hAnchor="margin" w:x="6800" w:y="7144"/>
        <w:rPr>
          <w:rStyle w:val="C3"/>
          <w:rtl w:val="0"/>
        </w:rPr>
      </w:pPr>
    </w:p>
    <w:p>
      <w:pPr>
        <w:pStyle w:val="P29"/>
        <w:framePr w:w="3839" w:h="704" w:hRule="exact" w:wrap="none" w:vAnchor="page" w:hAnchor="margin" w:x="6856" w:y="7200"/>
        <w:rPr>
          <w:rStyle w:val="C21"/>
          <w:rtl w:val="0"/>
        </w:rPr>
      </w:pPr>
      <w:r>
        <w:rPr>
          <w:rStyle w:val="C21"/>
          <w:rtl w:val="0"/>
        </w:rPr>
        <w:t>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Pojednat o obsahu a významu hlavní směrnice EU pro EMC (Electromagnetic Compatibility = elektromagnetická kompatibilita)</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Ústní ověření</w:t>
      </w:r>
    </w:p>
    <w:p>
      <w:pPr>
        <w:pStyle w:val="P12"/>
        <w:framePr w:w="6710" w:h="831" w:hRule="exact" w:wrap="none" w:vAnchor="page" w:hAnchor="margin" w:x="45" w:y="8582"/>
        <w:rPr>
          <w:rStyle w:val="C3"/>
          <w:rtl w:val="0"/>
        </w:rPr>
      </w:pPr>
    </w:p>
    <w:p>
      <w:pPr>
        <w:pStyle w:val="P13"/>
        <w:framePr w:w="6658" w:h="704" w:hRule="exact" w:wrap="none" w:vAnchor="page" w:hAnchor="margin" w:x="71" w:y="8638"/>
        <w:rPr>
          <w:rStyle w:val="C11"/>
          <w:rtl w:val="0"/>
        </w:rPr>
      </w:pPr>
      <w:r>
        <w:rPr>
          <w:rStyle w:val="C11"/>
          <w:rtl w:val="0"/>
        </w:rPr>
        <w:t>c) Objasnit a popsat rozdělení norem EMC na základní, kmenové a předmětové; určit jejich účel a pojednat o rozdílech mezi civilními a vojenskými normami</w:t>
      </w:r>
    </w:p>
    <w:p>
      <w:pPr>
        <w:pStyle w:val="P28"/>
        <w:framePr w:w="3921" w:h="831" w:hRule="exact" w:wrap="none" w:vAnchor="page" w:hAnchor="margin" w:x="6800" w:y="8582"/>
        <w:rPr>
          <w:rStyle w:val="C3"/>
          <w:rtl w:val="0"/>
        </w:rPr>
      </w:pPr>
    </w:p>
    <w:p>
      <w:pPr>
        <w:pStyle w:val="P29"/>
        <w:framePr w:w="3839" w:h="704" w:hRule="exact" w:wrap="none" w:vAnchor="page" w:hAnchor="margin" w:x="6856" w:y="8638"/>
        <w:rPr>
          <w:rStyle w:val="C21"/>
          <w:rtl w:val="0"/>
        </w:rPr>
      </w:pPr>
      <w:r>
        <w:rPr>
          <w:rStyle w:val="C21"/>
          <w:rtl w:val="0"/>
        </w:rPr>
        <w:t>Praktické předvedení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d) Objasnit a popsat rozdíl mezi závaznými a doporučenými normami</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e) Vysvětlit základní odlišnosti certifikace EMC pro automobilové a běžné elektrické produkty podle směrnic Evropské unie</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Ústní ověření</w:t>
      </w:r>
    </w:p>
    <w:p>
      <w:pPr>
        <w:pStyle w:val="P32"/>
        <w:framePr w:w="10710" w:h="248" w:hRule="exact" w:wrap="none" w:vAnchor="page" w:hAnchor="margin" w:x="28" w:y="10509"/>
        <w:rPr>
          <w:rStyle w:val="C23"/>
          <w:rtl w:val="0"/>
        </w:rPr>
      </w:pPr>
      <w:r>
        <w:rPr>
          <w:rStyle w:val="C23"/>
          <w:rtl w:val="0"/>
        </w:rPr>
        <w:t>Je třeba splnit všechna kritéria.</w:t>
      </w:r>
    </w:p>
    <w:p>
      <w:pPr>
        <w:pStyle w:val="P23"/>
        <w:framePr w:w="10710" w:h="340" w:hRule="exact" w:wrap="none" w:vAnchor="page" w:hAnchor="margin" w:x="28" w:y="10945"/>
        <w:rPr>
          <w:rStyle w:val="C18"/>
          <w:rtl w:val="0"/>
        </w:rPr>
      </w:pPr>
      <w:r>
        <w:rPr>
          <w:rStyle w:val="C18"/>
          <w:rtl w:val="0"/>
        </w:rPr>
        <w:t>Měření elektrických veličin a parametrů, vyhodnocení naměřených hodnot</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831" w:hRule="exact" w:wrap="none" w:vAnchor="page" w:hAnchor="margin" w:x="45" w:y="11761"/>
        <w:rPr>
          <w:rStyle w:val="C3"/>
          <w:rtl w:val="0"/>
        </w:rPr>
      </w:pPr>
    </w:p>
    <w:p>
      <w:pPr>
        <w:pStyle w:val="P13"/>
        <w:framePr w:w="6658" w:h="704" w:hRule="exact" w:wrap="none" w:vAnchor="page" w:hAnchor="margin" w:x="71" w:y="11817"/>
        <w:rPr>
          <w:rStyle w:val="C11"/>
          <w:rtl w:val="0"/>
        </w:rPr>
      </w:pPr>
      <w:r>
        <w:rPr>
          <w:rStyle w:val="C11"/>
          <w:rtl w:val="0"/>
        </w:rPr>
        <w:t>a) Vybrat vhodné měřicí přístroje pro změření autorizovanou osobou určených základních elektrických veličin a parametrů. Popsat a demonstrovat způsoby jejich měření</w:t>
      </w:r>
    </w:p>
    <w:p>
      <w:pPr>
        <w:pStyle w:val="P28"/>
        <w:framePr w:w="3921" w:h="831" w:hRule="exact" w:wrap="none" w:vAnchor="page" w:hAnchor="margin" w:x="6800" w:y="11761"/>
        <w:rPr>
          <w:rStyle w:val="C3"/>
          <w:rtl w:val="0"/>
        </w:rPr>
      </w:pPr>
    </w:p>
    <w:p>
      <w:pPr>
        <w:pStyle w:val="P29"/>
        <w:framePr w:w="3839" w:h="704" w:hRule="exact" w:wrap="none" w:vAnchor="page" w:hAnchor="margin" w:x="6856" w:y="11817"/>
        <w:rPr>
          <w:rStyle w:val="C21"/>
          <w:rtl w:val="0"/>
        </w:rPr>
      </w:pPr>
      <w:r>
        <w:rPr>
          <w:rStyle w:val="C21"/>
          <w:rtl w:val="0"/>
        </w:rPr>
        <w:t>Praktické předvedení a ústní ověření</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b) Změřit nosnou a modulační frekvenci, fázový posun a harmonické kmitočty, jejich úroveň a stabilitu na zadaném vysílacím zařízení</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a ústní ověření</w:t>
      </w:r>
    </w:p>
    <w:p>
      <w:pPr>
        <w:pStyle w:val="P12"/>
        <w:framePr w:w="6710" w:h="607" w:hRule="exact" w:wrap="none" w:vAnchor="page" w:hAnchor="margin" w:x="45" w:y="13198"/>
        <w:rPr>
          <w:rStyle w:val="C3"/>
          <w:rtl w:val="0"/>
        </w:rPr>
      </w:pPr>
    </w:p>
    <w:p>
      <w:pPr>
        <w:pStyle w:val="P13"/>
        <w:framePr w:w="6658" w:h="480" w:hRule="exact" w:wrap="none" w:vAnchor="page" w:hAnchor="margin" w:x="71" w:y="13254"/>
        <w:rPr>
          <w:rStyle w:val="C11"/>
          <w:rtl w:val="0"/>
        </w:rPr>
      </w:pPr>
      <w:r>
        <w:rPr>
          <w:rStyle w:val="C11"/>
          <w:rtl w:val="0"/>
        </w:rPr>
        <w:t>c) Vyhodnotit provedené měření, zvážit možnosti poškození obvodů měřeného zařízení měřením</w:t>
      </w:r>
    </w:p>
    <w:p>
      <w:pPr>
        <w:pStyle w:val="P28"/>
        <w:framePr w:w="3921" w:h="607" w:hRule="exact" w:wrap="none" w:vAnchor="page" w:hAnchor="margin" w:x="6800" w:y="13198"/>
        <w:rPr>
          <w:rStyle w:val="C3"/>
          <w:rtl w:val="0"/>
        </w:rPr>
      </w:pPr>
    </w:p>
    <w:p>
      <w:pPr>
        <w:pStyle w:val="P29"/>
        <w:framePr w:w="3839" w:h="480" w:hRule="exact" w:wrap="none" w:vAnchor="page" w:hAnchor="margin" w:x="6856" w:y="13254"/>
        <w:rPr>
          <w:rStyle w:val="C21"/>
          <w:rtl w:val="0"/>
        </w:rPr>
      </w:pPr>
      <w:r>
        <w:rPr>
          <w:rStyle w:val="C21"/>
          <w:rtl w:val="0"/>
        </w:rPr>
        <w:t>Praktické předvedení a ústní ověření</w:t>
      </w:r>
    </w:p>
    <w:p>
      <w:pPr>
        <w:pStyle w:val="P16"/>
        <w:framePr w:w="6710" w:h="607" w:hRule="exact" w:wrap="none" w:vAnchor="page" w:hAnchor="margin" w:x="45" w:y="13805"/>
        <w:rPr>
          <w:rStyle w:val="C3"/>
          <w:rtl w:val="0"/>
        </w:rPr>
      </w:pPr>
    </w:p>
    <w:p>
      <w:pPr>
        <w:pStyle w:val="P17"/>
        <w:framePr w:w="6658" w:h="480" w:hRule="exact" w:wrap="none" w:vAnchor="page" w:hAnchor="margin" w:x="71" w:y="13861"/>
        <w:rPr>
          <w:rStyle w:val="C13"/>
          <w:rtl w:val="0"/>
        </w:rPr>
      </w:pPr>
      <w:r>
        <w:rPr>
          <w:rStyle w:val="C13"/>
          <w:rtl w:val="0"/>
        </w:rPr>
        <w:t>d) Změřit hodnoty a určit parametry elektrických veličin a vyhodnotit měření použitím PC</w:t>
      </w:r>
    </w:p>
    <w:p>
      <w:pPr>
        <w:pStyle w:val="P30"/>
        <w:framePr w:w="3921" w:h="607" w:hRule="exact" w:wrap="none" w:vAnchor="page" w:hAnchor="margin" w:x="6800" w:y="13805"/>
        <w:rPr>
          <w:rStyle w:val="C3"/>
          <w:rtl w:val="0"/>
        </w:rPr>
      </w:pPr>
    </w:p>
    <w:p>
      <w:pPr>
        <w:pStyle w:val="P31"/>
        <w:framePr w:w="3839" w:h="480" w:hRule="exact" w:wrap="none" w:vAnchor="page" w:hAnchor="margin" w:x="6856" w:y="13861"/>
        <w:rPr>
          <w:rStyle w:val="C22"/>
          <w:rtl w:val="0"/>
        </w:rPr>
      </w:pPr>
      <w:r>
        <w:rPr>
          <w:rStyle w:val="C22"/>
          <w:rtl w:val="0"/>
        </w:rPr>
        <w:t>Praktické předvedení a ústní ověření</w:t>
      </w:r>
    </w:p>
    <w:p>
      <w:pPr>
        <w:pStyle w:val="P32"/>
        <w:framePr w:w="10710" w:h="248" w:hRule="exact" w:wrap="none" w:vAnchor="page" w:hAnchor="margin" w:x="28" w:y="1452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20.8.2026 21:48:31</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znalosti pojmů z oblasti elektromagnetické kompatibility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Definovat EMC biologických systémů, pojednat o nařízení vlády č. 291/2015 Sb. a definovat SAR (Specific Absorption Rate = Specifická míra absorpce) a jeho přípustné hodnoty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Nakreslit a popsat základní řetězec EMC a uvést, co zahrnují jeho jednotlivé oblasti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Definovat úroveň vyzařování a mez odolnosti a popsat způsoby šíření rušivých elektromagnetických signálů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Klasifikovat rušivé signály a jejich zdroje</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Měření rušivých signálů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účel a použití umělé zátěže vedení (LISN). Nakreslit blokové schéma umělé sítě LISN, uvést odlišnost měření při jednofázovém a třífázovém napájení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Praktické předvedení a 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Vybrat přístroj pro měření s napěťovou sondou z předložených měřicích přístrojů. Uvést, co lze měřit napěťovou sondou a jaké napojení měřiče rušení umožňuje; nakreslit schéma zapojení napěťové sondy</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 a ústní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c) Popsat účel a užití měření anténou; Uvést přehled měřicích antén, včetně určení, pro jaké kmitočty se používají a jakou složku elektromagnetického pole měří</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Ústní ověření</w:t>
      </w:r>
    </w:p>
    <w:p>
      <w:pPr>
        <w:pStyle w:val="P16"/>
        <w:framePr w:w="6710" w:h="831" w:hRule="exact" w:wrap="none" w:vAnchor="page" w:hAnchor="margin" w:x="45" w:y="9248"/>
        <w:rPr>
          <w:rStyle w:val="C3"/>
          <w:rtl w:val="0"/>
        </w:rPr>
      </w:pPr>
    </w:p>
    <w:p>
      <w:pPr>
        <w:pStyle w:val="P17"/>
        <w:framePr w:w="6658" w:h="704" w:hRule="exact" w:wrap="none" w:vAnchor="page" w:hAnchor="margin" w:x="71" w:y="9304"/>
        <w:rPr>
          <w:rStyle w:val="C13"/>
          <w:rtl w:val="0"/>
        </w:rPr>
      </w:pPr>
      <w:r>
        <w:rPr>
          <w:rStyle w:val="C13"/>
          <w:rtl w:val="0"/>
        </w:rPr>
        <w:t>d) Provést interpretaci výsledků s hodnocením zkoušky z předložených záznamů z měření rušení a popsat jednotlivé veličiny a vysvětlit naměřené průběhy</w:t>
      </w:r>
    </w:p>
    <w:p>
      <w:pPr>
        <w:pStyle w:val="P30"/>
        <w:framePr w:w="3921" w:h="831" w:hRule="exact" w:wrap="none" w:vAnchor="page" w:hAnchor="margin" w:x="6800" w:y="9248"/>
        <w:rPr>
          <w:rStyle w:val="C3"/>
          <w:rtl w:val="0"/>
        </w:rPr>
      </w:pPr>
    </w:p>
    <w:p>
      <w:pPr>
        <w:pStyle w:val="P31"/>
        <w:framePr w:w="3839" w:h="704" w:hRule="exact" w:wrap="none" w:vAnchor="page" w:hAnchor="margin" w:x="6856" w:y="9304"/>
        <w:rPr>
          <w:rStyle w:val="C22"/>
          <w:rtl w:val="0"/>
        </w:rPr>
      </w:pPr>
      <w:r>
        <w:rPr>
          <w:rStyle w:val="C22"/>
          <w:rtl w:val="0"/>
        </w:rPr>
        <w:t>Praktické předvedení a ústní ověření</w:t>
      </w:r>
    </w:p>
    <w:p>
      <w:pPr>
        <w:pStyle w:val="P32"/>
        <w:framePr w:w="10710" w:h="248" w:hRule="exact" w:wrap="none" w:vAnchor="page" w:hAnchor="margin" w:x="28" w:y="10193"/>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Orientace v oblasti elektromagnetického stínění</w:t>
      </w:r>
    </w:p>
    <w:p>
      <w:pPr>
        <w:pStyle w:val="P24"/>
        <w:framePr w:w="6713" w:h="376" w:hRule="exact" w:wrap="none" w:vAnchor="page" w:hAnchor="margin" w:x="45" w:y="11068"/>
        <w:rPr>
          <w:rStyle w:val="C3"/>
          <w:rtl w:val="0"/>
        </w:rPr>
      </w:pPr>
    </w:p>
    <w:p>
      <w:pPr>
        <w:pStyle w:val="P25"/>
        <w:framePr w:w="6661" w:h="249" w:hRule="exact" w:wrap="none" w:vAnchor="page" w:hAnchor="margin" w:x="71" w:y="11139"/>
        <w:rPr>
          <w:rStyle w:val="C19"/>
          <w:rtl w:val="0"/>
        </w:rPr>
      </w:pPr>
      <w:r>
        <w:rPr>
          <w:rStyle w:val="C19"/>
          <w:rtl w:val="0"/>
        </w:rPr>
        <w:t>Kritéria hodnocení</w:t>
      </w:r>
    </w:p>
    <w:p>
      <w:pPr>
        <w:pStyle w:val="P26"/>
        <w:framePr w:w="3918" w:h="376" w:hRule="exact" w:wrap="none" w:vAnchor="page" w:hAnchor="margin" w:x="6803" w:y="11068"/>
        <w:rPr>
          <w:rStyle w:val="C3"/>
          <w:rtl w:val="0"/>
        </w:rPr>
      </w:pPr>
    </w:p>
    <w:p>
      <w:pPr>
        <w:pStyle w:val="P27"/>
        <w:framePr w:w="3836" w:h="249" w:hRule="exact" w:wrap="none" w:vAnchor="page" w:hAnchor="margin" w:x="6859" w:y="11139"/>
        <w:rPr>
          <w:rStyle w:val="C20"/>
          <w:rtl w:val="0"/>
        </w:rPr>
      </w:pPr>
      <w:r>
        <w:rPr>
          <w:rStyle w:val="C20"/>
          <w:rtl w:val="0"/>
        </w:rPr>
        <w:t>Způsoby ověření</w:t>
      </w:r>
    </w:p>
    <w:p>
      <w:pPr>
        <w:pStyle w:val="P12"/>
        <w:framePr w:w="6710" w:h="607" w:hRule="exact" w:wrap="none" w:vAnchor="page" w:hAnchor="margin" w:x="45" w:y="11444"/>
        <w:rPr>
          <w:rStyle w:val="C3"/>
          <w:rtl w:val="0"/>
        </w:rPr>
      </w:pPr>
    </w:p>
    <w:p>
      <w:pPr>
        <w:pStyle w:val="P13"/>
        <w:framePr w:w="6658" w:h="480" w:hRule="exact" w:wrap="none" w:vAnchor="page" w:hAnchor="margin" w:x="71" w:y="11500"/>
        <w:rPr>
          <w:rStyle w:val="C11"/>
          <w:rtl w:val="0"/>
        </w:rPr>
      </w:pPr>
      <w:r>
        <w:rPr>
          <w:rStyle w:val="C11"/>
          <w:rtl w:val="0"/>
        </w:rPr>
        <w:t>a) Popsat účel a možnosti elektromagnetického stínění a základní charakteristiky stínění</w:t>
      </w:r>
    </w:p>
    <w:p>
      <w:pPr>
        <w:pStyle w:val="P28"/>
        <w:framePr w:w="3921" w:h="607" w:hRule="exact" w:wrap="none" w:vAnchor="page" w:hAnchor="margin" w:x="6800" w:y="11444"/>
        <w:rPr>
          <w:rStyle w:val="C3"/>
          <w:rtl w:val="0"/>
        </w:rPr>
      </w:pPr>
    </w:p>
    <w:p>
      <w:pPr>
        <w:pStyle w:val="P29"/>
        <w:framePr w:w="3839" w:h="480" w:hRule="exact" w:wrap="none" w:vAnchor="page" w:hAnchor="margin" w:x="6856" w:y="11500"/>
        <w:rPr>
          <w:rStyle w:val="C21"/>
          <w:rtl w:val="0"/>
        </w:rPr>
      </w:pPr>
      <w:r>
        <w:rPr>
          <w:rStyle w:val="C21"/>
          <w:rtl w:val="0"/>
        </w:rPr>
        <w:t>Písemné ověření</w:t>
      </w:r>
    </w:p>
    <w:p>
      <w:pPr>
        <w:pStyle w:val="P16"/>
        <w:framePr w:w="6710" w:h="376" w:hRule="exact" w:wrap="none" w:vAnchor="page" w:hAnchor="margin" w:x="45" w:y="12051"/>
        <w:rPr>
          <w:rStyle w:val="C3"/>
          <w:rtl w:val="0"/>
        </w:rPr>
      </w:pPr>
    </w:p>
    <w:p>
      <w:pPr>
        <w:pStyle w:val="P17"/>
        <w:framePr w:w="6658" w:h="249" w:hRule="exact" w:wrap="none" w:vAnchor="page" w:hAnchor="margin" w:x="71" w:y="12107"/>
        <w:rPr>
          <w:rStyle w:val="C13"/>
          <w:rtl w:val="0"/>
        </w:rPr>
      </w:pPr>
      <w:r>
        <w:rPr>
          <w:rStyle w:val="C13"/>
          <w:rtl w:val="0"/>
        </w:rPr>
        <w:t>b) Vysvětlit účinnost stínění v blízké zóně elektromagnetického pole</w:t>
      </w:r>
    </w:p>
    <w:p>
      <w:pPr>
        <w:pStyle w:val="P30"/>
        <w:framePr w:w="3921" w:h="376" w:hRule="exact" w:wrap="none" w:vAnchor="page" w:hAnchor="margin" w:x="6800" w:y="12051"/>
        <w:rPr>
          <w:rStyle w:val="C3"/>
          <w:rtl w:val="0"/>
        </w:rPr>
      </w:pPr>
    </w:p>
    <w:p>
      <w:pPr>
        <w:pStyle w:val="P31"/>
        <w:framePr w:w="3839" w:h="249" w:hRule="exact" w:wrap="none" w:vAnchor="page" w:hAnchor="margin" w:x="6856" w:y="12107"/>
        <w:rPr>
          <w:rStyle w:val="C22"/>
          <w:rtl w:val="0"/>
        </w:rPr>
      </w:pPr>
      <w:r>
        <w:rPr>
          <w:rStyle w:val="C22"/>
          <w:rtl w:val="0"/>
        </w:rPr>
        <w:t>Písemné ověření</w:t>
      </w:r>
    </w:p>
    <w:p>
      <w:pPr>
        <w:pStyle w:val="P12"/>
        <w:framePr w:w="6710" w:h="607" w:hRule="exact" w:wrap="none" w:vAnchor="page" w:hAnchor="margin" w:x="45" w:y="12427"/>
        <w:rPr>
          <w:rStyle w:val="C3"/>
          <w:rtl w:val="0"/>
        </w:rPr>
      </w:pPr>
    </w:p>
    <w:p>
      <w:pPr>
        <w:pStyle w:val="P13"/>
        <w:framePr w:w="6658" w:h="480" w:hRule="exact" w:wrap="none" w:vAnchor="page" w:hAnchor="margin" w:x="71" w:y="12483"/>
        <w:rPr>
          <w:rStyle w:val="C11"/>
          <w:rtl w:val="0"/>
        </w:rPr>
      </w:pPr>
      <w:r>
        <w:rPr>
          <w:rStyle w:val="C11"/>
          <w:rtl w:val="0"/>
        </w:rPr>
        <w:t>c) Vysvětlit vliv otvorů a technologických netěsností na celkovou účinnost stínění</w:t>
      </w:r>
    </w:p>
    <w:p>
      <w:pPr>
        <w:pStyle w:val="P28"/>
        <w:framePr w:w="3921" w:h="607" w:hRule="exact" w:wrap="none" w:vAnchor="page" w:hAnchor="margin" w:x="6800" w:y="12427"/>
        <w:rPr>
          <w:rStyle w:val="C3"/>
          <w:rtl w:val="0"/>
        </w:rPr>
      </w:pPr>
    </w:p>
    <w:p>
      <w:pPr>
        <w:pStyle w:val="P29"/>
        <w:framePr w:w="3839" w:h="480" w:hRule="exact" w:wrap="none" w:vAnchor="page" w:hAnchor="margin" w:x="6856" w:y="12483"/>
        <w:rPr>
          <w:rStyle w:val="C21"/>
          <w:rtl w:val="0"/>
        </w:rPr>
      </w:pPr>
      <w:r>
        <w:rPr>
          <w:rStyle w:val="C21"/>
          <w:rtl w:val="0"/>
        </w:rPr>
        <w:t>Písemné ověření</w:t>
      </w:r>
    </w:p>
    <w:p>
      <w:pPr>
        <w:pStyle w:val="P32"/>
        <w:framePr w:w="10710" w:h="248" w:hRule="exact" w:wrap="none" w:vAnchor="page" w:hAnchor="margin" w:x="28" w:y="1314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20.8.2026 21:48:31</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Omezování rušení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Pojednat o možnostech omezování rušení z pohledu jednotlivých oblastí základního řetězce EMC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rozdělení a popis odrušovacích prostředků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účel odrušovací tlumivky, nakreslit její zapojení do vedení a kmitočtový průběh jejího vložného útlumu a uvést požadavky, které musí dobrá odrušovací tlumivka splňovat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odrušovací filtry, jejich rozdělení, účel a způsob použití; definovat účel a použití speciálních odrušovacích filtrů, uvést jejich označování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Testování elektromagnetické odolnosti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na čem závisí interní elektromagnetická odolnost systému přístrojového typu a uvést základní systémová pravidla pro posouzení celkové elektromagnetické odolnosti systému</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Písemné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Uvést obecná kritéria elektromagnetické odolnosti, rozdělení a obsah základních funkčních kritérií</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Písemné ověření</w:t>
      </w:r>
    </w:p>
    <w:p>
      <w:pPr>
        <w:pStyle w:val="P12"/>
        <w:framePr w:w="6710" w:h="831" w:hRule="exact" w:wrap="none" w:vAnchor="page" w:hAnchor="margin" w:x="45" w:y="8193"/>
        <w:rPr>
          <w:rStyle w:val="C3"/>
          <w:rtl w:val="0"/>
        </w:rPr>
      </w:pPr>
    </w:p>
    <w:p>
      <w:pPr>
        <w:pStyle w:val="P13"/>
        <w:framePr w:w="6658" w:h="704" w:hRule="exact" w:wrap="none" w:vAnchor="page" w:hAnchor="margin" w:x="71" w:y="8249"/>
        <w:rPr>
          <w:rStyle w:val="C11"/>
          <w:rtl w:val="0"/>
        </w:rPr>
      </w:pPr>
      <w:r>
        <w:rPr>
          <w:rStyle w:val="C11"/>
          <w:rtl w:val="0"/>
        </w:rPr>
        <w:t>c) Popsat obecnou metodiku zkoušek elektromagnetické odolnosti; demonstrovat jednotlivé kroky před zahájením vlastní zkoušky a dílčí kroky provedení vlastního testu odolnosti</w:t>
      </w:r>
    </w:p>
    <w:p>
      <w:pPr>
        <w:pStyle w:val="P28"/>
        <w:framePr w:w="3921" w:h="831" w:hRule="exact" w:wrap="none" w:vAnchor="page" w:hAnchor="margin" w:x="6800" w:y="8193"/>
        <w:rPr>
          <w:rStyle w:val="C3"/>
          <w:rtl w:val="0"/>
        </w:rPr>
      </w:pPr>
    </w:p>
    <w:p>
      <w:pPr>
        <w:pStyle w:val="P29"/>
        <w:framePr w:w="3839" w:h="704" w:hRule="exact" w:wrap="none" w:vAnchor="page" w:hAnchor="margin" w:x="6856" w:y="8249"/>
        <w:rPr>
          <w:rStyle w:val="C21"/>
          <w:rtl w:val="0"/>
        </w:rPr>
      </w:pPr>
      <w:r>
        <w:rPr>
          <w:rStyle w:val="C21"/>
          <w:rtl w:val="0"/>
        </w:rPr>
        <w:t>Praktické předvedení a ústní ověření</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d) Charakterizovat jednotlivé typy zkoušek odolnosti podle ČSN EN 61000-4-6 ED.4 a pojednat, jaké rušivé jevy z reálného prostředí jednotlivé zkoušky představují</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Písemné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547" w:hRule="exact" w:wrap="none" w:vAnchor="page" w:hAnchor="margin" w:x="28" w:y="1040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607" w:hRule="exact" w:wrap="none" w:vAnchor="page" w:hAnchor="margin" w:x="45" w:y="11427"/>
        <w:rPr>
          <w:rStyle w:val="C3"/>
          <w:rtl w:val="0"/>
        </w:rPr>
      </w:pPr>
    </w:p>
    <w:p>
      <w:pPr>
        <w:pStyle w:val="P13"/>
        <w:framePr w:w="6658" w:h="480" w:hRule="exact" w:wrap="none" w:vAnchor="page" w:hAnchor="margin" w:x="71" w:y="11483"/>
        <w:rPr>
          <w:rStyle w:val="C11"/>
          <w:rtl w:val="0"/>
        </w:rPr>
      </w:pPr>
      <w:r>
        <w:rPr>
          <w:rStyle w:val="C11"/>
          <w:rtl w:val="0"/>
        </w:rPr>
        <w:t>a) Objasnit účinky elektrického proudu na živý organizmus a charakteristické účinky pro jednotlivé druhy elektrického proudu</w:t>
      </w:r>
    </w:p>
    <w:p>
      <w:pPr>
        <w:pStyle w:val="P28"/>
        <w:framePr w:w="3921" w:h="607" w:hRule="exact" w:wrap="none" w:vAnchor="page" w:hAnchor="margin" w:x="6800" w:y="11427"/>
        <w:rPr>
          <w:rStyle w:val="C3"/>
          <w:rtl w:val="0"/>
        </w:rPr>
      </w:pPr>
    </w:p>
    <w:p>
      <w:pPr>
        <w:pStyle w:val="P29"/>
        <w:framePr w:w="3839" w:h="480" w:hRule="exact" w:wrap="none" w:vAnchor="page" w:hAnchor="margin" w:x="6856" w:y="11483"/>
        <w:rPr>
          <w:rStyle w:val="C21"/>
          <w:rtl w:val="0"/>
        </w:rPr>
      </w:pPr>
      <w:r>
        <w:rPr>
          <w:rStyle w:val="C21"/>
          <w:rtl w:val="0"/>
        </w:rPr>
        <w:t>Ústní ověření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b) Popsat první pomoc při úrazu elektrickým proudem</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Ústní ověření</w:t>
      </w:r>
    </w:p>
    <w:p>
      <w:pPr>
        <w:pStyle w:val="P12"/>
        <w:framePr w:w="6710" w:h="607" w:hRule="exact" w:wrap="none" w:vAnchor="page" w:hAnchor="margin" w:x="45" w:y="12410"/>
        <w:rPr>
          <w:rStyle w:val="C3"/>
          <w:rtl w:val="0"/>
        </w:rPr>
      </w:pPr>
    </w:p>
    <w:p>
      <w:pPr>
        <w:pStyle w:val="P13"/>
        <w:framePr w:w="6658" w:h="480" w:hRule="exact" w:wrap="none" w:vAnchor="page" w:hAnchor="margin" w:x="71" w:y="12466"/>
        <w:rPr>
          <w:rStyle w:val="C11"/>
          <w:rtl w:val="0"/>
        </w:rPr>
      </w:pPr>
      <w:r>
        <w:rPr>
          <w:rStyle w:val="C11"/>
          <w:rtl w:val="0"/>
        </w:rPr>
        <w:t>c) Popsat strukturu právních předpisů, které stanoví požadavky na ochranu zdraví a majetku</w:t>
      </w:r>
    </w:p>
    <w:p>
      <w:pPr>
        <w:pStyle w:val="P28"/>
        <w:framePr w:w="3921" w:h="607" w:hRule="exact" w:wrap="none" w:vAnchor="page" w:hAnchor="margin" w:x="6800" w:y="12410"/>
        <w:rPr>
          <w:rStyle w:val="C3"/>
          <w:rtl w:val="0"/>
        </w:rPr>
      </w:pPr>
    </w:p>
    <w:p>
      <w:pPr>
        <w:pStyle w:val="P29"/>
        <w:framePr w:w="3839" w:h="480" w:hRule="exact" w:wrap="none" w:vAnchor="page" w:hAnchor="margin" w:x="6856" w:y="12466"/>
        <w:rPr>
          <w:rStyle w:val="C21"/>
          <w:rtl w:val="0"/>
        </w:rPr>
      </w:pPr>
      <w:r>
        <w:rPr>
          <w:rStyle w:val="C21"/>
          <w:rtl w:val="0"/>
        </w:rPr>
        <w:t>Ústní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d) Navrhnout interní předpis pro bezpečné testování a měření EMC u elektrotechnických zařízení</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20.8.2026 21:48:31</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"https://www.nsp.cz/jednotka-prace/samostatny-elektrotechnik-63e2"</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https://www.nsp.cz/jednotka-prace/samostatny-elektrotechnik-63e2</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úspěšné zkoušky je dodržení všech zásad a pravidel BOZP a PO.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2072"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732"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920"/>
        <w:rPr>
          <w:rStyle w:val="C3"/>
          <w:rtl w:val="0"/>
        </w:rPr>
      </w:pPr>
    </w:p>
    <w:p>
      <w:pPr>
        <w:pStyle w:val="P35"/>
        <w:framePr w:w="10710" w:h="340" w:hRule="exact" w:wrap="none" w:vAnchor="page" w:hAnchor="margin" w:x="28" w:y="12920"/>
        <w:rPr>
          <w:rStyle w:val="C25"/>
          <w:rtl w:val="0"/>
        </w:rPr>
      </w:pPr>
      <w:r>
        <w:rPr>
          <w:rStyle w:val="C25"/>
          <w:rtl w:val="0"/>
        </w:rPr>
        <w:t>Počet zkoušejících</w:t>
      </w:r>
    </w:p>
    <w:p>
      <w:pPr>
        <w:keepNext w:val="0"/>
        <w:keepLines w:val="0"/>
        <w:framePr w:w="10766" w:h="1036" w:hRule="exact" w:wrap="none" w:vAnchor="page" w:hAnchor="margin" w:x="0" w:y="13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20.8.2026 21:48:31</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praxe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praxe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praxe ve funkci učitele odborných předmětů nebo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20.8.2026 21:48:31</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platné zákony, vyhlášky a nařízení z oblasti elektromagnetické kompatibility, technické normy z oblasti provozu vybraných elektrických zařízení, bezpečnosti práce na elektrických zařízeních, publikace, popřípadě učební texty elektrotechnické, katalogy součástek a elektrotechnických materiálů (nařízení vlády č. 117/2016 Sb., ČSN EN 50160 ED.3, ČSN EN 55014-1 ED.4, ČSN IEC 1000-1-1 ED.4, ČSN IEC 1000-2-1, ČSN EN 61000-4-6 ED.4)</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elektromagnetických vlastností elektrotechnických přístrojů, které mají být použity jako zkušební pomůcky</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elektromagneticky stíněný prostor (komora); bezodrazová (absorpční) stíněná komora; umělá síť </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pracoviště podle normativních požadavků, zejména dodržení zemních rovin, jejich rozměrů, uzemnění apod.</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osciloskop, obvodový analyzátor, signální generátor, měřící přijímač rušivých signálů, měřicí přijímač s napěťovou sondou</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vybrané elektronické přístroje pro praktické měření základních elektrických veličin a parametrů - snímače (senzory) rušivého signálu s výstupem na vstup měřiče rušení; měřič rušení (měřicí přijímač); měřič rušivých signálů (RFI Meter); spektrální analyzátor; napěťová sonda; proudová sonda; absorpční kleště; měřicí antény</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odrušovacích prvků, umělá zátěž pro měření rušivých signálů</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měření základních elektrických veličin a charakteristik obvodů a součástek (laboratoř, učebna a pod.)</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 na elektrických zařízeních (izolační podložky, izolační rukavice, ochranné brýle apod.)</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05"/>
        <w:rPr>
          <w:rStyle w:val="C3"/>
          <w:rtl w:val="0"/>
        </w:rPr>
      </w:pPr>
    </w:p>
    <w:p>
      <w:pPr>
        <w:pStyle w:val="P35"/>
        <w:framePr w:w="10710" w:h="340" w:hRule="exact" w:wrap="none" w:vAnchor="page" w:hAnchor="margin" w:x="28" w:y="9705"/>
        <w:rPr>
          <w:rStyle w:val="C25"/>
          <w:rtl w:val="0"/>
        </w:rPr>
      </w:pPr>
      <w:r>
        <w:rPr>
          <w:rStyle w:val="C25"/>
          <w:rtl w:val="0"/>
        </w:rPr>
        <w:t>Doba přípravy na zkoušku</w:t>
      </w:r>
    </w:p>
    <w:p>
      <w:pPr>
        <w:keepNext w:val="0"/>
        <w:keepLines w:val="0"/>
        <w:framePr w:w="10766" w:h="806"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1078"/>
        <w:rPr>
          <w:rStyle w:val="C3"/>
          <w:rtl w:val="0"/>
        </w:rPr>
      </w:pPr>
    </w:p>
    <w:p>
      <w:pPr>
        <w:pStyle w:val="P35"/>
        <w:framePr w:w="10710" w:h="340" w:hRule="exact" w:wrap="none" w:vAnchor="page" w:hAnchor="margin" w:x="28" w:y="11078"/>
        <w:rPr>
          <w:rStyle w:val="C25"/>
          <w:rtl w:val="0"/>
        </w:rPr>
      </w:pPr>
      <w:r>
        <w:rPr>
          <w:rStyle w:val="C25"/>
          <w:rtl w:val="0"/>
        </w:rPr>
        <w:t>Doba pro vykonání zkoušky</w:t>
      </w:r>
    </w:p>
    <w:p>
      <w:pPr>
        <w:keepNext w:val="0"/>
        <w:keepLines w:val="0"/>
        <w:framePr w:w="10766" w:h="1036" w:hRule="exact" w:wrap="none" w:vAnchor="page" w:hAnchor="margin" w:x="0" w:y="11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 toho doba trvání písemné části zkoušky jednoho uchazeče je 120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20.8.2026 21:48:31</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Průmyslová střední škola Letohrad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20.8.2026 21:48:31</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8C43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720B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