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A41625" Type="http://schemas.openxmlformats.org/officeDocument/2006/relationships/officeDocument" Target="/word/document.xml" /><Relationship Id="coreR30A41625" Type="http://schemas.openxmlformats.org/package/2006/relationships/metadata/core-properties" Target="/docProps/core.xml" /><Relationship Id="customR30A41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14.10.2022</w:t>
      </w:r>
    </w:p>
    <w:p>
      <w:pPr>
        <w:pStyle w:val="P21"/>
        <w:framePr w:w="7654" w:h="331" w:hRule="exact" w:wrap="none" w:vAnchor="page" w:hAnchor="margin" w:x="28" w:y="15940"/>
        <w:rPr>
          <w:rStyle w:val="C16"/>
          <w:rtl w:val="0"/>
        </w:rPr>
      </w:pPr>
      <w:r>
        <w:rPr>
          <w:rStyle w:val="C16"/>
          <w:rtl w:val="0"/>
        </w:rPr>
        <w:t>Samostatný elektrotechnik pro elektromagnetickou kompatibilitu, 31.7.2026 14:48:03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31.7.2026 14:48:03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31.7.2026 14:48:03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31.7.2026 14:48:03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dle § 6 vyhlášky č. 50/1978 Sb., v platném znění.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pStyle w:val="P33"/>
        <w:framePr w:w="10766" w:h="2072"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732"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 elektromagnetickou kompatibilitu, 31.7.2026 14:48:03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1000V nebo 5 let praxe ve funkci učitele odborných předmětů nebo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elektromagnetickou kompatibilitu, 31.7.2026 14:48:03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ČSN EN 55014-1, ČSN IEC 1000-1-1, ČSN IEC 1000-2-1, řada norem ČSN EN 61000)</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 elektromagnetickou kompatibilitu, 31.7.2026 14:48:03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pro elektromagnetickou kompatibilitu, 31.7.2026 14:48:03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2ED7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90A3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