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3E303E" Type="http://schemas.openxmlformats.org/officeDocument/2006/relationships/officeDocument" Target="/word/document.xml" /><Relationship Id="coreR483E303E" Type="http://schemas.openxmlformats.org/package/2006/relationships/metadata/core-properties" Target="/docProps/core.xml" /><Relationship Id="customR483E30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pro elektromagnetickou kompatibilitu (kód: 26-063-R)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 elektromagnetickou kompatibilitu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a výkresové dokumentace pro návrh způsobu odrušení elektrotechnického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Prokázání znalosti předpisů a norem k elektromagnetické kompatibilitě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parametrů, vyhodnocení naměřených hodnot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Prokázání znalosti pojmů z oblasti elektromagnetické kompatibility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rušivých signálů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oblasti elektromagnetického stínění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Omezování rušení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Testování elektromagnetické odolnosti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18.08.2021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elektromagnetickou kompatibilitu, 20.10.2026 8:51:51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"https://www.nsp.cz/jednotka-prace/samostatny-elektrotechnik-63e2"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https://www.nsp.cz/jednotka-prace/samostatny-elektrotechnik-63e2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uchazeče ke zkoušce je předložení platného Osvědčení o odborné způsobilosti v elektrotechnice minimálně dle § 6 vyhlášky č. 50/1978 Sb., v platném znění.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úspěšné zkoušky je dodržení všech zásad a pravidel BOZP a PO.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elektromagnetickou kompatibilitu, 20.10.2026 8:51:51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OEZ,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Průmyslová střední škola Letohrad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elektromagnetickou kompatibilitu, 20.10.2026 8:51:51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