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6C4C62" Type="http://schemas.openxmlformats.org/officeDocument/2006/relationships/officeDocument" Target="/word/document.xml" /><Relationship Id="coreR186C4C62" Type="http://schemas.openxmlformats.org/package/2006/relationships/metadata/core-properties" Target="/docProps/core.xml" /><Relationship Id="customR186C4C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7.11.2026 18:01:23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čalounění odpočivného křesla "ušák" s tlačnými pružinami - očalouní sedadlo a další odborné kompetence předvede na připravených dílcích/modelech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kvalitní dílce a vzorky čalouněného nábytku, na kterých uchazeč předvede všechny odborné kompetence a dovednosti požadované při čalounění klasickou technologií. V případě, že je zhotovován nebo opravován výrobek, který některé z požadovaných kompetencí a dovedností neobsahuje, je třeba, aby uchazeč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 znalosti čalounických materiálů a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7.11.2026 18:01:23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-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7.11.2026 18:01:23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8430A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