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B70F66" Type="http://schemas.openxmlformats.org/officeDocument/2006/relationships/officeDocument" Target="/word/document.xml" /><Relationship Id="coreR2EB70F66" Type="http://schemas.openxmlformats.org/package/2006/relationships/metadata/core-properties" Target="/docProps/core.xml" /><Relationship Id="customR2EB70F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odpočivného křesla "ušák" s tlačnými pružinami - očalouní sedadlo a další odborné kompetence předvede na připravených dílcích/modelech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kvalitní dílce a vzorky čalouněného nábytku, na kterých uchazeč předvede všechny odborné kompetence a dovednosti požadované při čalounění klasickou technologií. V případě, že je zhotovován nebo opravován výrobek, který některé z požadovaných kompetencí a dovedností neobsahuje, je třeba, aby uchazeč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 znalosti čalounických materiálů a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-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F753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