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BA9B1" Type="http://schemas.openxmlformats.org/officeDocument/2006/relationships/officeDocument" Target="/word/document.xml" /><Relationship Id="coreR7D5BA9B1" Type="http://schemas.openxmlformats.org/package/2006/relationships/metadata/core-properties" Target="/docProps/core.xml" /><Relationship Id="customR7D5BA9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soudobou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nábytku čalouněného soudobou technologií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čalounění nábytku soudobou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Opravy, obnova, údržba a rekonstrukce čalounění soudobou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18.10.2026 19:34:34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•čalounění křesla pevného, nerozkládacího s čalouněnými područkami, s pružným podkladem sedadla a opěradla – potah useň nebo kombinace usně a syntetické náhrady usně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 celočalouněného výrobku s výklopným nebo polohovacím kováním, např. válendy s úložným prostorem pod lehací výklopnou plochou - potah textil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odpovídající dílce čalouněného nábytku tak, aby mohl uchazeč prokázat všechny odborné kompetence. V případě, že je zhotovován nebo opravován výrobek, který některé z požadovaných dovedností neobsahuje, je třeba, aby zkoušený na vzorcích materiálů předvedl dělení materiálů, spojování, strojové šití, obnitkování, všívání zdrhovadla, prošívání a další dovednosti, které jsou v profesní kvalifikaci obsaženy.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ke znalosti čalounických materiálů a ke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18.10.2026 19:34:34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soudobou technologií, 18.10.2026 19:34:34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61D88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