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B772D" Type="http://schemas.openxmlformats.org/officeDocument/2006/relationships/officeDocument" Target="/word/document.xml" /><Relationship Id="coreR54BB772D" Type="http://schemas.openxmlformats.org/package/2006/relationships/metadata/core-properties" Target="/docProps/core.xml" /><Relationship Id="customR54BB7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Konfekcionér gumárenské výroby (kód: 28-064-H)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technologických zařízení pro konfekci v gumárenské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konfekce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 dle výrobního programu, autorizovaná osoba o výrobním programu informuje uchazeče (písemně při vyhlášení termínu zkoušky, minimálně 1 měsíc před jejím konáním). Na praktickém příkladu uchazeč vysvětlí např. průběh technologického procesu, používané suroviny a materiály. Sleduje a posuzuje hodnoty a parametry při obsluze technologických procesů.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vypracování odpovědí na zadané otázky (popsat části pláště, nastavené tolerance při kompletaci pláště).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"Charakteristika gumárenské technologie, materiálů a strojního zařízení", kriterium d): na základě výkresů či schémat uchazeč vysvětlí funkci stroje případně výrobní linky a výrobního procesu.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"Charakteristika gumárenské technologie, materiálů a strojního zařízení", kriterium e): při hodnocení výsledků technologického procesu uchazeč použije PC s vyhodnocovacím software.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použity interní testy (zpracované ve firmě, kde se realizuje zkouška) k bezpečnosti práce, požární ochraně a ochraně životního prostředí v souladu s legislativou a platnými normami.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Konfekcionér gumárenské výroby, 18.10.2026 18:19:40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